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3F140" w14:textId="77777777" w:rsidR="009F6030" w:rsidRDefault="004452CA" w:rsidP="009F6030">
      <w:pPr>
        <w:pStyle w:val="Body"/>
        <w:jc w:val="center"/>
        <w:rPr>
          <w:rFonts w:ascii="Times New Roman" w:hAnsi="Times New Roman" w:cs="Times New Roman"/>
          <w:b/>
          <w:caps/>
          <w:sz w:val="28"/>
          <w:szCs w:val="28"/>
        </w:rPr>
      </w:pPr>
      <w:r w:rsidRPr="009F6030">
        <w:rPr>
          <w:rFonts w:ascii="Times New Roman" w:hAnsi="Times New Roman" w:cs="Times New Roman"/>
          <w:b/>
          <w:caps/>
          <w:sz w:val="28"/>
          <w:szCs w:val="28"/>
        </w:rPr>
        <w:t>The Worker Justice Project:</w:t>
      </w:r>
    </w:p>
    <w:p w14:paraId="0B5ADDCC" w14:textId="77777777" w:rsidR="007D4D71" w:rsidRPr="009F6030" w:rsidRDefault="004452CA" w:rsidP="009F6030">
      <w:pPr>
        <w:pStyle w:val="Body"/>
        <w:jc w:val="center"/>
        <w:rPr>
          <w:rFonts w:ascii="Times New Roman" w:hAnsi="Times New Roman" w:cs="Times New Roman"/>
          <w:b/>
          <w:caps/>
          <w:sz w:val="28"/>
          <w:szCs w:val="28"/>
        </w:rPr>
      </w:pPr>
      <w:r w:rsidRPr="009F6030">
        <w:rPr>
          <w:rFonts w:ascii="Times New Roman" w:hAnsi="Times New Roman" w:cs="Times New Roman"/>
          <w:b/>
          <w:caps/>
          <w:sz w:val="28"/>
          <w:szCs w:val="28"/>
        </w:rPr>
        <w:t xml:space="preserve"> A Blueprint for a Comprehensive Criminal Employment Law Practice</w:t>
      </w:r>
    </w:p>
    <w:p w14:paraId="37FBA1C4" w14:textId="77777777" w:rsidR="009F6030" w:rsidRDefault="009F6030" w:rsidP="009F6030">
      <w:pPr>
        <w:pStyle w:val="Body"/>
        <w:jc w:val="both"/>
        <w:rPr>
          <w:rFonts w:ascii="Times New Roman" w:hAnsi="Times New Roman" w:cs="Times New Roman"/>
        </w:rPr>
      </w:pPr>
    </w:p>
    <w:p w14:paraId="4B79C10E" w14:textId="77777777" w:rsidR="007D4D71" w:rsidRPr="009F6030" w:rsidRDefault="00EB0029" w:rsidP="009F6030">
      <w:pPr>
        <w:pStyle w:val="Body"/>
        <w:jc w:val="center"/>
        <w:rPr>
          <w:rFonts w:ascii="Times New Roman" w:hAnsi="Times New Roman" w:cs="Times New Roman"/>
        </w:rPr>
      </w:pPr>
      <w:r w:rsidRPr="009F6030">
        <w:rPr>
          <w:rFonts w:ascii="Times New Roman" w:hAnsi="Times New Roman" w:cs="Times New Roman"/>
          <w:smallCaps/>
        </w:rPr>
        <w:t>Melissa S. Ader</w:t>
      </w:r>
      <w:r w:rsidR="00FB4780" w:rsidRPr="000710B0">
        <w:rPr>
          <w:rStyle w:val="FootnoteReference"/>
          <w:rFonts w:ascii="Times New Roman" w:hAnsi="Times New Roman"/>
        </w:rPr>
        <w:footnoteReference w:customMarkFollows="1" w:id="2"/>
        <w:sym w:font="Symbol" w:char="F0A5"/>
      </w:r>
    </w:p>
    <w:p w14:paraId="18F022A9" w14:textId="77777777" w:rsidR="007D4D71" w:rsidRDefault="007D4D71" w:rsidP="009F6030">
      <w:pPr>
        <w:pStyle w:val="Body"/>
        <w:jc w:val="both"/>
        <w:rPr>
          <w:rFonts w:ascii="Times New Roman" w:hAnsi="Times New Roman" w:cs="Times New Roman"/>
        </w:rPr>
      </w:pPr>
    </w:p>
    <w:p w14:paraId="4F6E6870" w14:textId="77777777" w:rsidR="009F6030" w:rsidRPr="009F6030" w:rsidRDefault="009F6030" w:rsidP="009F6030">
      <w:pPr>
        <w:pStyle w:val="Body"/>
        <w:jc w:val="center"/>
        <w:rPr>
          <w:rFonts w:ascii="Times New Roman" w:hAnsi="Times New Roman" w:cs="Times New Roman"/>
          <w:smallCaps/>
        </w:rPr>
      </w:pPr>
      <w:r w:rsidRPr="009F6030">
        <w:rPr>
          <w:rFonts w:ascii="Times New Roman" w:hAnsi="Times New Roman" w:cs="Times New Roman"/>
          <w:smallCaps/>
        </w:rPr>
        <w:t>Introduction</w:t>
      </w:r>
    </w:p>
    <w:p w14:paraId="59A96F9F" w14:textId="77777777" w:rsidR="009F6030" w:rsidRPr="009F6030" w:rsidRDefault="009F6030" w:rsidP="009F6030">
      <w:pPr>
        <w:pStyle w:val="Body"/>
        <w:jc w:val="both"/>
        <w:rPr>
          <w:rFonts w:ascii="Times New Roman" w:hAnsi="Times New Roman" w:cs="Times New Roman"/>
        </w:rPr>
      </w:pPr>
    </w:p>
    <w:p w14:paraId="542C05EB" w14:textId="6DDD8409"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On January 1, 2019, The Legal Aid Society</w:t>
      </w:r>
      <w:r w:rsidRPr="009F6030">
        <w:rPr>
          <w:rFonts w:ascii="Times New Roman" w:hAnsi="Times New Roman" w:cs="Times New Roman"/>
          <w:rtl/>
        </w:rPr>
        <w:t>’</w:t>
      </w:r>
      <w:r w:rsidRPr="009F6030">
        <w:rPr>
          <w:rFonts w:ascii="Times New Roman" w:hAnsi="Times New Roman" w:cs="Times New Roman"/>
        </w:rPr>
        <w:t xml:space="preserve">s Criminal Defense Practice launched the Worker Justice Project in order to combat discrimination faced by workers with arrest or conviction records living in New York City. For many clients of the Criminal Defense Practice, the most catastrophic result of an arrest or conviction is its effect on employment. The Worker Justice Project aims to minimize the employment consequences of arrest and conviction from the date of arrest until long after the conclusion of the criminal case. We do so via a multifaceted approach rooted in expertise in criminal employment law, a legal field focused on the </w:t>
      </w:r>
      <w:r w:rsidR="002B234D" w:rsidRPr="009F6030">
        <w:rPr>
          <w:rFonts w:ascii="Times New Roman" w:hAnsi="Times New Roman" w:cs="Times New Roman"/>
        </w:rPr>
        <w:t xml:space="preserve">employment consequences </w:t>
      </w:r>
      <w:r w:rsidRPr="009F6030">
        <w:rPr>
          <w:rFonts w:ascii="Times New Roman" w:hAnsi="Times New Roman" w:cs="Times New Roman"/>
        </w:rPr>
        <w:t>of pending and resolved criminal cases.</w:t>
      </w:r>
      <w:bookmarkStart w:id="0" w:name="_Ref32841089"/>
      <w:r w:rsidRPr="009F6030">
        <w:rPr>
          <w:rFonts w:ascii="Times New Roman" w:eastAsia="Helvetica Neue" w:hAnsi="Times New Roman" w:cs="Times New Roman"/>
          <w:vertAlign w:val="superscript"/>
        </w:rPr>
        <w:footnoteReference w:id="3"/>
      </w:r>
      <w:bookmarkEnd w:id="0"/>
      <w:r w:rsidRPr="009F6030">
        <w:rPr>
          <w:rFonts w:ascii="Times New Roman" w:hAnsi="Times New Roman" w:cs="Times New Roman"/>
        </w:rPr>
        <w:t xml:space="preserve"> We believe that every client and former client of Legal Aid’s Criminal Defense Practice should have access to a criminal employment law expert who understands the unique consequences of that client’s criminal case on their specific industry and employment goals.</w:t>
      </w:r>
    </w:p>
    <w:p w14:paraId="37EBFC70" w14:textId="373837DC" w:rsid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This brief </w:t>
      </w:r>
      <w:r w:rsidR="00CD01D6">
        <w:rPr>
          <w:rFonts w:ascii="Times New Roman" w:hAnsi="Times New Roman" w:cs="Times New Roman"/>
        </w:rPr>
        <w:t>A</w:t>
      </w:r>
      <w:r w:rsidRPr="009F6030">
        <w:rPr>
          <w:rFonts w:ascii="Times New Roman" w:hAnsi="Times New Roman" w:cs="Times New Roman"/>
        </w:rPr>
        <w:t>rticle lays out the vision and strategies underpinning the Worker Justice Project. The four strategies described—(1) advi</w:t>
      </w:r>
      <w:r w:rsidR="00945EB3">
        <w:rPr>
          <w:rFonts w:ascii="Times New Roman" w:hAnsi="Times New Roman" w:cs="Times New Roman"/>
        </w:rPr>
        <w:t>s</w:t>
      </w:r>
      <w:r w:rsidR="006B76E4">
        <w:rPr>
          <w:rFonts w:ascii="Times New Roman" w:hAnsi="Times New Roman" w:cs="Times New Roman"/>
        </w:rPr>
        <w:t>ing</w:t>
      </w:r>
      <w:r w:rsidRPr="009F6030">
        <w:rPr>
          <w:rFonts w:ascii="Times New Roman" w:hAnsi="Times New Roman" w:cs="Times New Roman"/>
        </w:rPr>
        <w:t xml:space="preserve"> </w:t>
      </w:r>
      <w:r w:rsidR="002B234D" w:rsidRPr="009F6030">
        <w:rPr>
          <w:rFonts w:ascii="Times New Roman" w:hAnsi="Times New Roman" w:cs="Times New Roman"/>
        </w:rPr>
        <w:t>criminal defense</w:t>
      </w:r>
      <w:r w:rsidRPr="009F6030">
        <w:rPr>
          <w:rFonts w:ascii="Times New Roman" w:hAnsi="Times New Roman" w:cs="Times New Roman"/>
        </w:rPr>
        <w:t xml:space="preserve"> attorneys about how to minimize the employment consequences of the criminal case</w:t>
      </w:r>
      <w:r w:rsidR="00CD01D6">
        <w:rPr>
          <w:rFonts w:ascii="Times New Roman" w:hAnsi="Times New Roman" w:cs="Times New Roman"/>
        </w:rPr>
        <w:t>;</w:t>
      </w:r>
      <w:r w:rsidRPr="009F6030">
        <w:rPr>
          <w:rFonts w:ascii="Times New Roman" w:hAnsi="Times New Roman" w:cs="Times New Roman"/>
        </w:rPr>
        <w:t xml:space="preserve"> (2) empower</w:t>
      </w:r>
      <w:r w:rsidR="006B76E4">
        <w:rPr>
          <w:rFonts w:ascii="Times New Roman" w:hAnsi="Times New Roman" w:cs="Times New Roman"/>
        </w:rPr>
        <w:t>ing</w:t>
      </w:r>
      <w:r w:rsidRPr="009F6030">
        <w:rPr>
          <w:rFonts w:ascii="Times New Roman" w:hAnsi="Times New Roman" w:cs="Times New Roman"/>
        </w:rPr>
        <w:t xml:space="preserve"> workers with records to defend their rights</w:t>
      </w:r>
      <w:r w:rsidR="00CD01D6">
        <w:rPr>
          <w:rFonts w:ascii="Times New Roman" w:hAnsi="Times New Roman" w:cs="Times New Roman"/>
        </w:rPr>
        <w:t>;</w:t>
      </w:r>
      <w:r w:rsidRPr="009F6030">
        <w:rPr>
          <w:rFonts w:ascii="Times New Roman" w:hAnsi="Times New Roman" w:cs="Times New Roman"/>
        </w:rPr>
        <w:t xml:space="preserve"> (3) represent</w:t>
      </w:r>
      <w:r w:rsidR="006B76E4">
        <w:rPr>
          <w:rFonts w:ascii="Times New Roman" w:hAnsi="Times New Roman" w:cs="Times New Roman"/>
        </w:rPr>
        <w:t>ing</w:t>
      </w:r>
      <w:r w:rsidR="00945EB3">
        <w:rPr>
          <w:rFonts w:ascii="Times New Roman" w:hAnsi="Times New Roman" w:cs="Times New Roman"/>
        </w:rPr>
        <w:t xml:space="preserve"> </w:t>
      </w:r>
      <w:r w:rsidRPr="009F6030">
        <w:rPr>
          <w:rFonts w:ascii="Times New Roman" w:hAnsi="Times New Roman" w:cs="Times New Roman"/>
        </w:rPr>
        <w:t>workers with records in administrative proceedings, pre-litigation advocacy, and litigation</w:t>
      </w:r>
      <w:r w:rsidR="00CD01D6">
        <w:rPr>
          <w:rFonts w:ascii="Times New Roman" w:hAnsi="Times New Roman" w:cs="Times New Roman"/>
        </w:rPr>
        <w:t>;</w:t>
      </w:r>
      <w:r w:rsidRPr="009F6030">
        <w:rPr>
          <w:rFonts w:ascii="Times New Roman" w:hAnsi="Times New Roman" w:cs="Times New Roman"/>
        </w:rPr>
        <w:t xml:space="preserve"> and (4) </w:t>
      </w:r>
      <w:r w:rsidR="006B76E4">
        <w:rPr>
          <w:rFonts w:ascii="Times New Roman" w:hAnsi="Times New Roman" w:cs="Times New Roman"/>
        </w:rPr>
        <w:t>advocating for legislative solutions and challenging government policies to effect systemic change</w:t>
      </w:r>
      <w:r w:rsidRPr="009F6030">
        <w:rPr>
          <w:rFonts w:ascii="Times New Roman" w:hAnsi="Times New Roman" w:cs="Times New Roman"/>
        </w:rPr>
        <w:t xml:space="preserve">—work best when used in conjunction. Our </w:t>
      </w:r>
      <w:r w:rsidR="002B234D" w:rsidRPr="009F6030">
        <w:rPr>
          <w:rFonts w:ascii="Times New Roman" w:hAnsi="Times New Roman" w:cs="Times New Roman"/>
        </w:rPr>
        <w:t>efforts</w:t>
      </w:r>
      <w:r w:rsidRPr="009F6030">
        <w:rPr>
          <w:rFonts w:ascii="Times New Roman" w:hAnsi="Times New Roman" w:cs="Times New Roman"/>
        </w:rPr>
        <w:t xml:space="preserve"> in each of</w:t>
      </w:r>
      <w:r w:rsidR="000A3FEF" w:rsidRPr="009F6030">
        <w:rPr>
          <w:rFonts w:ascii="Times New Roman" w:hAnsi="Times New Roman" w:cs="Times New Roman"/>
        </w:rPr>
        <w:t xml:space="preserve"> the</w:t>
      </w:r>
      <w:r w:rsidR="002B234D" w:rsidRPr="009F6030">
        <w:rPr>
          <w:rFonts w:ascii="Times New Roman" w:hAnsi="Times New Roman" w:cs="Times New Roman"/>
        </w:rPr>
        <w:t xml:space="preserve"> strategy areas inform</w:t>
      </w:r>
      <w:r w:rsidRPr="009F6030">
        <w:rPr>
          <w:rFonts w:ascii="Times New Roman" w:hAnsi="Times New Roman" w:cs="Times New Roman"/>
        </w:rPr>
        <w:t xml:space="preserve"> our </w:t>
      </w:r>
      <w:r w:rsidR="002B234D" w:rsidRPr="009F6030">
        <w:rPr>
          <w:rFonts w:ascii="Times New Roman" w:hAnsi="Times New Roman" w:cs="Times New Roman"/>
        </w:rPr>
        <w:t>advocacy</w:t>
      </w:r>
      <w:r w:rsidRPr="009F6030">
        <w:rPr>
          <w:rFonts w:ascii="Times New Roman" w:hAnsi="Times New Roman" w:cs="Times New Roman"/>
        </w:rPr>
        <w:t xml:space="preserve"> in the other</w:t>
      </w:r>
      <w:r w:rsidR="002B234D" w:rsidRPr="009F6030">
        <w:rPr>
          <w:rFonts w:ascii="Times New Roman" w:hAnsi="Times New Roman" w:cs="Times New Roman"/>
        </w:rPr>
        <w:t>s</w:t>
      </w:r>
      <w:r w:rsidR="000A3FEF" w:rsidRPr="009F6030">
        <w:rPr>
          <w:rFonts w:ascii="Times New Roman" w:hAnsi="Times New Roman" w:cs="Times New Roman"/>
        </w:rPr>
        <w:t xml:space="preserve">; using all four strategies </w:t>
      </w:r>
      <w:r w:rsidRPr="009F6030">
        <w:rPr>
          <w:rFonts w:ascii="Times New Roman" w:hAnsi="Times New Roman" w:cs="Times New Roman"/>
        </w:rPr>
        <w:t>allow</w:t>
      </w:r>
      <w:r w:rsidR="002B234D" w:rsidRPr="009F6030">
        <w:rPr>
          <w:rFonts w:ascii="Times New Roman" w:hAnsi="Times New Roman" w:cs="Times New Roman"/>
        </w:rPr>
        <w:t>s</w:t>
      </w:r>
      <w:r w:rsidRPr="009F6030">
        <w:rPr>
          <w:rFonts w:ascii="Times New Roman" w:hAnsi="Times New Roman" w:cs="Times New Roman"/>
        </w:rPr>
        <w:t xml:space="preserve"> us to develop a comprehensive expertise in the area of criminal employment law in New York City. We approach our work through a racial justice </w:t>
      </w:r>
      <w:r w:rsidRPr="009F6030">
        <w:rPr>
          <w:rFonts w:ascii="Times New Roman" w:hAnsi="Times New Roman" w:cs="Times New Roman"/>
        </w:rPr>
        <w:lastRenderedPageBreak/>
        <w:t>lens, with an awareness that the exclusion of workers with records from employment is rooted in racism.</w:t>
      </w:r>
      <w:r w:rsidRPr="009F6030">
        <w:rPr>
          <w:rFonts w:ascii="Times New Roman" w:eastAsia="Helvetica Neue" w:hAnsi="Times New Roman" w:cs="Times New Roman"/>
          <w:vertAlign w:val="superscript"/>
        </w:rPr>
        <w:footnoteReference w:id="4"/>
      </w:r>
      <w:r w:rsidRPr="009F6030">
        <w:rPr>
          <w:rFonts w:ascii="Times New Roman" w:hAnsi="Times New Roman" w:cs="Times New Roman"/>
        </w:rPr>
        <w:t xml:space="preserve"> </w:t>
      </w:r>
    </w:p>
    <w:p w14:paraId="73401606" w14:textId="3B65F6CE" w:rsidR="007D4D71" w:rsidRPr="009F6030" w:rsidRDefault="00B11FC7" w:rsidP="009F6030">
      <w:pPr>
        <w:pStyle w:val="Body"/>
        <w:ind w:firstLine="720"/>
        <w:jc w:val="both"/>
        <w:rPr>
          <w:rFonts w:ascii="Times New Roman" w:hAnsi="Times New Roman" w:cs="Times New Roman"/>
        </w:rPr>
      </w:pPr>
      <w:r>
        <w:rPr>
          <w:rFonts w:ascii="Times New Roman" w:hAnsi="Times New Roman" w:cs="Times New Roman"/>
        </w:rPr>
        <w:t>I</w:t>
      </w:r>
      <w:r w:rsidR="004452CA" w:rsidRPr="009F6030">
        <w:rPr>
          <w:rFonts w:ascii="Times New Roman" w:hAnsi="Times New Roman" w:cs="Times New Roman"/>
        </w:rPr>
        <w:t xml:space="preserve"> hope that this </w:t>
      </w:r>
      <w:r w:rsidR="00CD01D6">
        <w:rPr>
          <w:rFonts w:ascii="Times New Roman" w:hAnsi="Times New Roman" w:cs="Times New Roman"/>
        </w:rPr>
        <w:t>A</w:t>
      </w:r>
      <w:r w:rsidR="004452CA" w:rsidRPr="009F6030">
        <w:rPr>
          <w:rFonts w:ascii="Times New Roman" w:hAnsi="Times New Roman" w:cs="Times New Roman"/>
        </w:rPr>
        <w:t>rticle will assist other public defender organizations that seek to create similar projects.</w:t>
      </w:r>
    </w:p>
    <w:p w14:paraId="7C99CD00" w14:textId="77777777" w:rsidR="007D4D71" w:rsidRPr="009F6030" w:rsidRDefault="007D4D71" w:rsidP="009F6030">
      <w:pPr>
        <w:pStyle w:val="Body"/>
        <w:ind w:firstLine="720"/>
        <w:jc w:val="both"/>
        <w:rPr>
          <w:rFonts w:ascii="Times New Roman" w:hAnsi="Times New Roman" w:cs="Times New Roman"/>
        </w:rPr>
      </w:pPr>
    </w:p>
    <w:p w14:paraId="335A7DB3" w14:textId="77777777" w:rsidR="007D4D71" w:rsidRPr="009F6030" w:rsidRDefault="004452CA" w:rsidP="009F6030">
      <w:pPr>
        <w:pStyle w:val="Body"/>
        <w:jc w:val="center"/>
        <w:rPr>
          <w:rFonts w:ascii="Times New Roman" w:hAnsi="Times New Roman" w:cs="Times New Roman"/>
          <w:b/>
          <w:bCs/>
        </w:rPr>
      </w:pPr>
      <w:r w:rsidRPr="009F6030">
        <w:rPr>
          <w:rFonts w:ascii="Times New Roman" w:hAnsi="Times New Roman" w:cs="Times New Roman"/>
          <w:b/>
          <w:bCs/>
        </w:rPr>
        <w:t>Strategy 1: Advise Criminal Defense Practice attorneys about how to minimize the employment consequences of a criminal case, from arraignment to disposition.</w:t>
      </w:r>
    </w:p>
    <w:p w14:paraId="319509E1" w14:textId="77777777" w:rsidR="007D4D71" w:rsidRPr="009F6030" w:rsidRDefault="007D4D71" w:rsidP="009F6030">
      <w:pPr>
        <w:pStyle w:val="Body"/>
        <w:ind w:firstLine="720"/>
        <w:jc w:val="both"/>
        <w:rPr>
          <w:rFonts w:ascii="Times New Roman" w:hAnsi="Times New Roman" w:cs="Times New Roman"/>
        </w:rPr>
      </w:pPr>
    </w:p>
    <w:p w14:paraId="3DA8CC03" w14:textId="52D3B0F5"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Much of our work involves advising trial attorneys in Legal Aid’s Criminal Defense Practice. This advice generally fits into one of two categories: (1) what steps the attorney and their client should take while the criminal case is pending to increase the likelihood of retaining their job or license, and (2) what criminal case disposition will cause the least harm to a client</w:t>
      </w:r>
      <w:r w:rsidRPr="009F6030">
        <w:rPr>
          <w:rFonts w:ascii="Times New Roman" w:hAnsi="Times New Roman" w:cs="Times New Roman"/>
          <w:rtl/>
        </w:rPr>
        <w:t>’</w:t>
      </w:r>
      <w:r w:rsidRPr="009F6030">
        <w:rPr>
          <w:rFonts w:ascii="Times New Roman" w:hAnsi="Times New Roman" w:cs="Times New Roman"/>
        </w:rPr>
        <w:t xml:space="preserve">s current employment and future </w:t>
      </w:r>
      <w:r w:rsidR="00B11FC7">
        <w:rPr>
          <w:rFonts w:ascii="Times New Roman" w:hAnsi="Times New Roman" w:cs="Times New Roman"/>
        </w:rPr>
        <w:t>job</w:t>
      </w:r>
      <w:r w:rsidR="00B11FC7" w:rsidRPr="009F6030">
        <w:rPr>
          <w:rFonts w:ascii="Times New Roman" w:hAnsi="Times New Roman" w:cs="Times New Roman"/>
        </w:rPr>
        <w:t xml:space="preserve"> </w:t>
      </w:r>
      <w:r w:rsidRPr="009F6030">
        <w:rPr>
          <w:rFonts w:ascii="Times New Roman" w:hAnsi="Times New Roman" w:cs="Times New Roman"/>
        </w:rPr>
        <w:t>opportunities, given the realities of the criminal case.</w:t>
      </w:r>
    </w:p>
    <w:p w14:paraId="0FA76FAD" w14:textId="51B9FDB9"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As many scholars and practitioners have noted, an arrest or conviction has numerous and varied negative consequences on employment and occupational licensure.</w:t>
      </w:r>
      <w:r w:rsidRPr="009F6030">
        <w:rPr>
          <w:rFonts w:ascii="Times New Roman" w:eastAsia="Helvetica Neue" w:hAnsi="Times New Roman" w:cs="Times New Roman"/>
          <w:vertAlign w:val="superscript"/>
        </w:rPr>
        <w:footnoteReference w:id="5"/>
      </w:r>
      <w:r w:rsidRPr="009F6030">
        <w:rPr>
          <w:rFonts w:ascii="Times New Roman" w:hAnsi="Times New Roman" w:cs="Times New Roman"/>
        </w:rPr>
        <w:t xml:space="preserve"> In New York State and New York City, hundreds of government agencies are licensors and/or employers; thousands more private actors are employers. Each of these licensing agencies and employers has a different policy and practice with respect to arrest and conviction. For example, the New York City Department of Education (which issues security clearances to workers in </w:t>
      </w:r>
      <w:r w:rsidR="00995037">
        <w:rPr>
          <w:rFonts w:ascii="Times New Roman" w:hAnsi="Times New Roman" w:cs="Times New Roman"/>
        </w:rPr>
        <w:t>the c</w:t>
      </w:r>
      <w:r w:rsidRPr="009F6030">
        <w:rPr>
          <w:rFonts w:ascii="Times New Roman" w:hAnsi="Times New Roman" w:cs="Times New Roman"/>
        </w:rPr>
        <w:t>ity</w:t>
      </w:r>
      <w:r w:rsidR="00995037">
        <w:rPr>
          <w:rFonts w:ascii="Times New Roman" w:hAnsi="Times New Roman" w:cs="Times New Roman"/>
        </w:rPr>
        <w:t>’s</w:t>
      </w:r>
      <w:r w:rsidRPr="009F6030">
        <w:rPr>
          <w:rFonts w:ascii="Times New Roman" w:hAnsi="Times New Roman" w:cs="Times New Roman"/>
        </w:rPr>
        <w:t xml:space="preserve"> public schools</w:t>
      </w:r>
      <w:r w:rsidR="00001F92">
        <w:rPr>
          <w:rStyle w:val="FootnoteReference"/>
          <w:rFonts w:ascii="Times New Roman" w:hAnsi="Times New Roman" w:cs="Times New Roman"/>
        </w:rPr>
        <w:footnoteReference w:id="6"/>
      </w:r>
      <w:r w:rsidRPr="009F6030">
        <w:rPr>
          <w:rFonts w:ascii="Times New Roman" w:hAnsi="Times New Roman" w:cs="Times New Roman"/>
        </w:rPr>
        <w:t>) has different practices than the New York State Education Department (which issues security clearances to workers in New York City charter schools and certifications to teachers in New York City public and charter schools</w:t>
      </w:r>
      <w:r w:rsidR="00C07BA4">
        <w:rPr>
          <w:rStyle w:val="FootnoteReference"/>
          <w:rFonts w:ascii="Times New Roman" w:hAnsi="Times New Roman" w:cs="Times New Roman"/>
        </w:rPr>
        <w:footnoteReference w:id="7"/>
      </w:r>
      <w:r w:rsidRPr="009F6030">
        <w:rPr>
          <w:rFonts w:ascii="Times New Roman" w:hAnsi="Times New Roman" w:cs="Times New Roman"/>
        </w:rPr>
        <w:t xml:space="preserve">), which has different </w:t>
      </w:r>
      <w:r w:rsidRPr="009F6030">
        <w:rPr>
          <w:rFonts w:ascii="Times New Roman" w:hAnsi="Times New Roman" w:cs="Times New Roman"/>
        </w:rPr>
        <w:lastRenderedPageBreak/>
        <w:t xml:space="preserve">practices </w:t>
      </w:r>
      <w:r w:rsidR="00CD01D6">
        <w:rPr>
          <w:rFonts w:ascii="Times New Roman" w:hAnsi="Times New Roman" w:cs="Times New Roman"/>
        </w:rPr>
        <w:t>from</w:t>
      </w:r>
      <w:r w:rsidR="00CD01D6" w:rsidRPr="009F6030">
        <w:rPr>
          <w:rFonts w:ascii="Times New Roman" w:hAnsi="Times New Roman" w:cs="Times New Roman"/>
        </w:rPr>
        <w:t xml:space="preserve"> </w:t>
      </w:r>
      <w:r w:rsidRPr="009F6030">
        <w:rPr>
          <w:rFonts w:ascii="Times New Roman" w:hAnsi="Times New Roman" w:cs="Times New Roman"/>
        </w:rPr>
        <w:t>the New York City Department of Health and Mental Hygiene (which issues security clearances to workers in New York City daycares</w:t>
      </w:r>
      <w:r w:rsidR="001005DB">
        <w:rPr>
          <w:rStyle w:val="FootnoteReference"/>
          <w:rFonts w:ascii="Times New Roman" w:hAnsi="Times New Roman" w:cs="Times New Roman"/>
        </w:rPr>
        <w:footnoteReference w:id="8"/>
      </w:r>
      <w:r w:rsidRPr="009F6030">
        <w:rPr>
          <w:rFonts w:ascii="Times New Roman" w:hAnsi="Times New Roman" w:cs="Times New Roman"/>
        </w:rPr>
        <w:t>).</w:t>
      </w:r>
    </w:p>
    <w:p w14:paraId="2573F87F" w14:textId="0541AC21"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To properly advise Criminal Defense Practice attorneys about the likely consequences of arrest and various case dispositions, attorneys in the Worker Justice Project have become experts in the policies and practices of many of these agencies and employers. We have done so by parsing the countless statutes and regulations that govern different types of licenses, clearances, and </w:t>
      </w:r>
      <w:r w:rsidR="00995037">
        <w:rPr>
          <w:rFonts w:ascii="Times New Roman" w:hAnsi="Times New Roman" w:cs="Times New Roman"/>
        </w:rPr>
        <w:t>positions</w:t>
      </w:r>
      <w:r w:rsidRPr="009F6030">
        <w:rPr>
          <w:rFonts w:ascii="Times New Roman" w:hAnsi="Times New Roman" w:cs="Times New Roman"/>
        </w:rPr>
        <w:t xml:space="preserve">. And, perhaps more importantly, we have done so by building relationships with employees who work at the government agencies and are willing to explain their agencies’ practices and the likely consequences of various case dispositions. It has been more challenging to obtain useful information in the private employment context, except where the employees are represented by a union (union attorneys are often quite helpful). For all types of licenses and employment, we keep records of the consequences that have in fact resulted from our clients’ case dispositions, </w:t>
      </w:r>
      <w:r w:rsidR="00E05F7B">
        <w:rPr>
          <w:rFonts w:ascii="Times New Roman" w:hAnsi="Times New Roman" w:cs="Times New Roman"/>
        </w:rPr>
        <w:t>which</w:t>
      </w:r>
      <w:r w:rsidRPr="009F6030">
        <w:rPr>
          <w:rFonts w:ascii="Times New Roman" w:hAnsi="Times New Roman" w:cs="Times New Roman"/>
        </w:rPr>
        <w:t xml:space="preserve"> allows us to estimate likely impacts for future clients. Building our expertise has required patience, time, and diligent and organized notetaking.</w:t>
      </w:r>
    </w:p>
    <w:p w14:paraId="6D10DFE6" w14:textId="2ED6671B"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Worker Justice Project attorneys must also become experts in </w:t>
      </w:r>
      <w:r w:rsidR="00273F61" w:rsidRPr="009F6030">
        <w:rPr>
          <w:rFonts w:ascii="Times New Roman" w:hAnsi="Times New Roman" w:cs="Times New Roman"/>
        </w:rPr>
        <w:t xml:space="preserve">certain aspects of </w:t>
      </w:r>
      <w:r w:rsidRPr="009F6030">
        <w:rPr>
          <w:rFonts w:ascii="Times New Roman" w:hAnsi="Times New Roman" w:cs="Times New Roman"/>
        </w:rPr>
        <w:t xml:space="preserve">criminal law. For example, </w:t>
      </w:r>
      <w:r w:rsidR="00C077D4" w:rsidRPr="009F6030">
        <w:rPr>
          <w:rFonts w:ascii="Times New Roman" w:hAnsi="Times New Roman" w:cs="Times New Roman"/>
        </w:rPr>
        <w:t xml:space="preserve">for an individual whose criminal case results in a </w:t>
      </w:r>
      <w:r w:rsidR="00C077D4">
        <w:rPr>
          <w:rFonts w:ascii="Times New Roman" w:hAnsi="Times New Roman" w:cs="Times New Roman"/>
        </w:rPr>
        <w:t>violation-level conviction</w:t>
      </w:r>
      <w:r w:rsidR="00C077D4" w:rsidRPr="009F6030">
        <w:rPr>
          <w:rFonts w:ascii="Times New Roman" w:hAnsi="Times New Roman" w:cs="Times New Roman"/>
        </w:rPr>
        <w:t xml:space="preserve"> </w:t>
      </w:r>
      <w:r w:rsidRPr="009F6030">
        <w:rPr>
          <w:rFonts w:ascii="Times New Roman" w:hAnsi="Times New Roman" w:cs="Times New Roman"/>
        </w:rPr>
        <w:t>in New York City, a sentence of “time served” has significantly different consequences than a sentence of “conditional discharge</w:t>
      </w:r>
      <w:r w:rsidR="00C077D4" w:rsidRPr="009F6030">
        <w:rPr>
          <w:rFonts w:ascii="Times New Roman" w:hAnsi="Times New Roman" w:cs="Times New Roman"/>
        </w:rPr>
        <w:t>.</w:t>
      </w:r>
      <w:r w:rsidRPr="009F6030">
        <w:rPr>
          <w:rFonts w:ascii="Times New Roman" w:hAnsi="Times New Roman" w:cs="Times New Roman"/>
        </w:rPr>
        <w:t>”</w:t>
      </w:r>
      <w:r w:rsidR="0018049F">
        <w:rPr>
          <w:rStyle w:val="FootnoteReference"/>
          <w:rFonts w:ascii="Times New Roman" w:hAnsi="Times New Roman" w:cs="Times New Roman"/>
        </w:rPr>
        <w:footnoteReference w:id="9"/>
      </w:r>
      <w:r w:rsidRPr="009F6030">
        <w:rPr>
          <w:rFonts w:ascii="Times New Roman" w:hAnsi="Times New Roman" w:cs="Times New Roman"/>
        </w:rPr>
        <w:t xml:space="preserve"> The client who is sentenced to “time served” is protected from employment discrimination related to the criminal case after the date to pay their surcharge has passed, whereas the client who is sentenced to “conditional discharge” must wait a year to gain the same protections. Providing the most accurate advice related to a client’s employment requires a nuanced understanding of numerous provisions in the </w:t>
      </w:r>
      <w:r w:rsidR="00450766">
        <w:rPr>
          <w:rFonts w:ascii="Times New Roman" w:hAnsi="Times New Roman" w:cs="Times New Roman"/>
        </w:rPr>
        <w:t>c</w:t>
      </w:r>
      <w:r w:rsidRPr="009F6030">
        <w:rPr>
          <w:rFonts w:ascii="Times New Roman" w:hAnsi="Times New Roman" w:cs="Times New Roman"/>
        </w:rPr>
        <w:t xml:space="preserve">riminal </w:t>
      </w:r>
      <w:r w:rsidR="00450766">
        <w:rPr>
          <w:rFonts w:ascii="Times New Roman" w:hAnsi="Times New Roman" w:cs="Times New Roman"/>
        </w:rPr>
        <w:t>p</w:t>
      </w:r>
      <w:r w:rsidRPr="009F6030">
        <w:rPr>
          <w:rFonts w:ascii="Times New Roman" w:hAnsi="Times New Roman" w:cs="Times New Roman"/>
        </w:rPr>
        <w:t>rocedur</w:t>
      </w:r>
      <w:r w:rsidR="00450766">
        <w:rPr>
          <w:rFonts w:ascii="Times New Roman" w:hAnsi="Times New Roman" w:cs="Times New Roman"/>
        </w:rPr>
        <w:t>e,</w:t>
      </w:r>
      <w:r w:rsidRPr="009F6030">
        <w:rPr>
          <w:rFonts w:ascii="Times New Roman" w:hAnsi="Times New Roman" w:cs="Times New Roman"/>
        </w:rPr>
        <w:t xml:space="preserve"> </w:t>
      </w:r>
      <w:r w:rsidR="00450766">
        <w:rPr>
          <w:rFonts w:ascii="Times New Roman" w:hAnsi="Times New Roman" w:cs="Times New Roman"/>
        </w:rPr>
        <w:t>p</w:t>
      </w:r>
      <w:r w:rsidRPr="009F6030">
        <w:rPr>
          <w:rFonts w:ascii="Times New Roman" w:hAnsi="Times New Roman" w:cs="Times New Roman"/>
        </w:rPr>
        <w:t>enal</w:t>
      </w:r>
      <w:r w:rsidR="00450766">
        <w:rPr>
          <w:rFonts w:ascii="Times New Roman" w:hAnsi="Times New Roman" w:cs="Times New Roman"/>
        </w:rPr>
        <w:t>,</w:t>
      </w:r>
      <w:r w:rsidRPr="009F6030">
        <w:rPr>
          <w:rFonts w:ascii="Times New Roman" w:hAnsi="Times New Roman" w:cs="Times New Roman"/>
        </w:rPr>
        <w:t xml:space="preserve"> and </w:t>
      </w:r>
      <w:r w:rsidR="00450766">
        <w:rPr>
          <w:rFonts w:ascii="Times New Roman" w:hAnsi="Times New Roman" w:cs="Times New Roman"/>
        </w:rPr>
        <w:t>v</w:t>
      </w:r>
      <w:r w:rsidRPr="009F6030">
        <w:rPr>
          <w:rFonts w:ascii="Times New Roman" w:hAnsi="Times New Roman" w:cs="Times New Roman"/>
        </w:rPr>
        <w:t xml:space="preserve">ehicle and </w:t>
      </w:r>
      <w:r w:rsidR="00450766">
        <w:rPr>
          <w:rFonts w:ascii="Times New Roman" w:hAnsi="Times New Roman" w:cs="Times New Roman"/>
        </w:rPr>
        <w:t>t</w:t>
      </w:r>
      <w:r w:rsidRPr="009F6030">
        <w:rPr>
          <w:rFonts w:ascii="Times New Roman" w:hAnsi="Times New Roman" w:cs="Times New Roman"/>
        </w:rPr>
        <w:t xml:space="preserve">raffic </w:t>
      </w:r>
      <w:r w:rsidR="00450766">
        <w:rPr>
          <w:rFonts w:ascii="Times New Roman" w:hAnsi="Times New Roman" w:cs="Times New Roman"/>
        </w:rPr>
        <w:t>l</w:t>
      </w:r>
      <w:r w:rsidRPr="009F6030">
        <w:rPr>
          <w:rFonts w:ascii="Times New Roman" w:hAnsi="Times New Roman" w:cs="Times New Roman"/>
        </w:rPr>
        <w:t>aw</w:t>
      </w:r>
      <w:r w:rsidR="00450766">
        <w:rPr>
          <w:rFonts w:ascii="Times New Roman" w:hAnsi="Times New Roman" w:cs="Times New Roman"/>
        </w:rPr>
        <w:t>s</w:t>
      </w:r>
      <w:r w:rsidRPr="009F6030">
        <w:rPr>
          <w:rFonts w:ascii="Times New Roman" w:hAnsi="Times New Roman" w:cs="Times New Roman"/>
        </w:rPr>
        <w:t xml:space="preserve">. </w:t>
      </w:r>
    </w:p>
    <w:p w14:paraId="3B6A6A80" w14:textId="33DF8C6F"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We advise </w:t>
      </w:r>
      <w:r w:rsidR="00450766">
        <w:rPr>
          <w:rFonts w:ascii="Times New Roman" w:hAnsi="Times New Roman" w:cs="Times New Roman"/>
        </w:rPr>
        <w:t>c</w:t>
      </w:r>
      <w:r w:rsidRPr="009F6030">
        <w:rPr>
          <w:rFonts w:ascii="Times New Roman" w:hAnsi="Times New Roman" w:cs="Times New Roman"/>
        </w:rPr>
        <w:t xml:space="preserve">riminal </w:t>
      </w:r>
      <w:r w:rsidR="00450766">
        <w:rPr>
          <w:rFonts w:ascii="Times New Roman" w:hAnsi="Times New Roman" w:cs="Times New Roman"/>
        </w:rPr>
        <w:t>d</w:t>
      </w:r>
      <w:r w:rsidRPr="009F6030">
        <w:rPr>
          <w:rFonts w:ascii="Times New Roman" w:hAnsi="Times New Roman" w:cs="Times New Roman"/>
        </w:rPr>
        <w:t>efense attorneys in three separate ways: via one-on-one consultations, office-wide trainings, and an internal document called the Employment Consequences Manual. In 2019, the Worker Justice Project provided 772 one-on-one consultations to Criminal Defense Practice staff. Each of these consultations conveyed essential advice that increased our clients’ chances of retaining or obtaining employment or licensure. However, because The Legal Aid Society’s Criminal Defense Practice is the largest public defender in the United States, representing clients in close to 200,000 legal matters last year</w:t>
      </w:r>
      <w:r w:rsidR="006262DD">
        <w:rPr>
          <w:rFonts w:ascii="Times New Roman" w:hAnsi="Times New Roman" w:cs="Times New Roman"/>
        </w:rPr>
        <w:t xml:space="preserve"> alone</w:t>
      </w:r>
      <w:r w:rsidRPr="009F6030">
        <w:rPr>
          <w:rFonts w:ascii="Times New Roman" w:hAnsi="Times New Roman" w:cs="Times New Roman"/>
        </w:rPr>
        <w:t>,</w:t>
      </w:r>
      <w:r w:rsidR="00836E34" w:rsidRPr="00836E34">
        <w:rPr>
          <w:rFonts w:ascii="Times New Roman" w:eastAsia="Helvetica Neue" w:hAnsi="Times New Roman" w:cs="Times New Roman"/>
          <w:vertAlign w:val="superscript"/>
        </w:rPr>
        <w:t xml:space="preserve"> </w:t>
      </w:r>
      <w:r w:rsidR="00836E34" w:rsidRPr="009F6030">
        <w:rPr>
          <w:rFonts w:ascii="Times New Roman" w:eastAsia="Helvetica Neue" w:hAnsi="Times New Roman" w:cs="Times New Roman"/>
          <w:vertAlign w:val="superscript"/>
        </w:rPr>
        <w:footnoteReference w:id="10"/>
      </w:r>
      <w:r w:rsidRPr="009F6030">
        <w:rPr>
          <w:rFonts w:ascii="Times New Roman" w:hAnsi="Times New Roman" w:cs="Times New Roman"/>
        </w:rPr>
        <w:t xml:space="preserve"> the Worker Justice Project also sought to provide advice in a more efficient way. To that end, we created a 35-page Employment Consequences Manual that we update and expand over time. The </w:t>
      </w:r>
      <w:r w:rsidR="00450766">
        <w:rPr>
          <w:rFonts w:ascii="Times New Roman" w:hAnsi="Times New Roman" w:cs="Times New Roman"/>
        </w:rPr>
        <w:t>manual</w:t>
      </w:r>
      <w:r w:rsidRPr="009F6030">
        <w:rPr>
          <w:rFonts w:ascii="Times New Roman" w:hAnsi="Times New Roman" w:cs="Times New Roman"/>
        </w:rPr>
        <w:t xml:space="preserve"> provides detailed and specific advice for </w:t>
      </w:r>
      <w:r w:rsidR="001F5804">
        <w:rPr>
          <w:rFonts w:ascii="Times New Roman" w:hAnsi="Times New Roman" w:cs="Times New Roman"/>
        </w:rPr>
        <w:t>Criminal Defense Practice staff</w:t>
      </w:r>
      <w:r w:rsidR="001F5804" w:rsidRPr="009F6030">
        <w:rPr>
          <w:rFonts w:ascii="Times New Roman" w:hAnsi="Times New Roman" w:cs="Times New Roman"/>
        </w:rPr>
        <w:t xml:space="preserve"> </w:t>
      </w:r>
      <w:r w:rsidRPr="009F6030">
        <w:rPr>
          <w:rFonts w:ascii="Times New Roman" w:hAnsi="Times New Roman" w:cs="Times New Roman"/>
        </w:rPr>
        <w:t xml:space="preserve">whose clients are employed in various low-wage industries in New York City. It answers the most commonly asked questions for those industries </w:t>
      </w:r>
      <w:r w:rsidRPr="009F6030">
        <w:rPr>
          <w:rFonts w:ascii="Times New Roman" w:hAnsi="Times New Roman" w:cs="Times New Roman"/>
        </w:rPr>
        <w:lastRenderedPageBreak/>
        <w:t xml:space="preserve">and provides basic template letters that attorneys can send to employers and government agencies when such a letter is necessary to increase or maintain employment opportunities. Based on conversations with attorneys, it is our understanding that this manual has significantly expanded the impact of the Worker Justice Project. </w:t>
      </w:r>
    </w:p>
    <w:p w14:paraId="7C84725C" w14:textId="77777777" w:rsidR="007D4D71" w:rsidRPr="009F6030" w:rsidRDefault="007D4D71" w:rsidP="009F6030">
      <w:pPr>
        <w:pStyle w:val="Body"/>
        <w:ind w:firstLine="720"/>
        <w:jc w:val="both"/>
        <w:rPr>
          <w:rFonts w:ascii="Times New Roman" w:hAnsi="Times New Roman" w:cs="Times New Roman"/>
        </w:rPr>
      </w:pPr>
    </w:p>
    <w:p w14:paraId="002426AA" w14:textId="77777777" w:rsidR="007D4D71" w:rsidRPr="009F6030" w:rsidRDefault="004452CA" w:rsidP="009F6030">
      <w:pPr>
        <w:pStyle w:val="Body"/>
        <w:jc w:val="center"/>
        <w:rPr>
          <w:rFonts w:ascii="Times New Roman" w:hAnsi="Times New Roman" w:cs="Times New Roman"/>
          <w:b/>
          <w:bCs/>
        </w:rPr>
      </w:pPr>
      <w:r w:rsidRPr="009F6030">
        <w:rPr>
          <w:rFonts w:ascii="Times New Roman" w:hAnsi="Times New Roman" w:cs="Times New Roman"/>
          <w:b/>
          <w:bCs/>
        </w:rPr>
        <w:t>Strategy 2: Empower workers with arrest or conviction records to defend their rights.</w:t>
      </w:r>
    </w:p>
    <w:p w14:paraId="05EC0953" w14:textId="77777777" w:rsidR="007D4D71" w:rsidRPr="009F6030" w:rsidRDefault="007D4D71" w:rsidP="009F6030">
      <w:pPr>
        <w:pStyle w:val="Body"/>
        <w:ind w:firstLine="720"/>
        <w:jc w:val="both"/>
        <w:rPr>
          <w:rFonts w:ascii="Times New Roman" w:hAnsi="Times New Roman" w:cs="Times New Roman"/>
        </w:rPr>
      </w:pPr>
    </w:p>
    <w:p w14:paraId="4B2E6628" w14:textId="32B01179"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The second strategy the Worker Justice Project uses to reduce barriers to employment is to empower workers with records to defend their rights through Know Your Rights education and the creation of “accomplishment packets.” This work is particularly important in New Yor</w:t>
      </w:r>
      <w:r w:rsidR="008736D2">
        <w:rPr>
          <w:rFonts w:ascii="Times New Roman" w:hAnsi="Times New Roman" w:cs="Times New Roman"/>
        </w:rPr>
        <w:t xml:space="preserve">k and other jurisdictions that have </w:t>
      </w:r>
      <w:r w:rsidRPr="009F6030">
        <w:rPr>
          <w:rFonts w:ascii="Times New Roman" w:hAnsi="Times New Roman" w:cs="Times New Roman"/>
        </w:rPr>
        <w:t xml:space="preserve">strong laws protecting people with </w:t>
      </w:r>
      <w:r w:rsidR="0095421B">
        <w:rPr>
          <w:rFonts w:ascii="Times New Roman" w:hAnsi="Times New Roman" w:cs="Times New Roman"/>
        </w:rPr>
        <w:t xml:space="preserve">criminal </w:t>
      </w:r>
      <w:r w:rsidRPr="009F6030">
        <w:rPr>
          <w:rFonts w:ascii="Times New Roman" w:hAnsi="Times New Roman" w:cs="Times New Roman"/>
        </w:rPr>
        <w:t>records from employment discrimination</w:t>
      </w:r>
      <w:r w:rsidR="008736D2">
        <w:rPr>
          <w:rFonts w:ascii="Times New Roman" w:hAnsi="Times New Roman" w:cs="Times New Roman"/>
        </w:rPr>
        <w:t>,</w:t>
      </w:r>
      <w:r w:rsidR="0073258C">
        <w:rPr>
          <w:rStyle w:val="FootnoteReference"/>
          <w:rFonts w:ascii="Times New Roman" w:hAnsi="Times New Roman" w:cs="Times New Roman"/>
        </w:rPr>
        <w:footnoteReference w:id="11"/>
      </w:r>
      <w:r w:rsidR="008736D2">
        <w:rPr>
          <w:rFonts w:ascii="Times New Roman" w:hAnsi="Times New Roman" w:cs="Times New Roman"/>
        </w:rPr>
        <w:t xml:space="preserve"> where </w:t>
      </w:r>
      <w:r w:rsidRPr="009F6030">
        <w:rPr>
          <w:rFonts w:ascii="Times New Roman" w:hAnsi="Times New Roman" w:cs="Times New Roman"/>
        </w:rPr>
        <w:t xml:space="preserve">knowledge of these laws can mean the difference between employment and unemployment. </w:t>
      </w:r>
    </w:p>
    <w:p w14:paraId="4E11ECCD" w14:textId="07798E48"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New York has some of the strongest employment discrimination protections in the country for workers with records. The New York State Human Rights Law prohibits almost all employers from discriminating in any way on the basis of criminal cases that have been terminated in the defendant’s favor, sealed, resolved with a youthful offender adjudication, or resolved with an adjournment in contemplation of dismissal.</w:t>
      </w:r>
      <w:r w:rsidRPr="009F6030">
        <w:rPr>
          <w:rFonts w:ascii="Times New Roman" w:eastAsia="Helvetica Neue" w:hAnsi="Times New Roman" w:cs="Times New Roman"/>
          <w:vertAlign w:val="superscript"/>
        </w:rPr>
        <w:footnoteReference w:id="12"/>
      </w:r>
      <w:r w:rsidRPr="009F6030">
        <w:rPr>
          <w:rFonts w:ascii="Times New Roman" w:hAnsi="Times New Roman" w:cs="Times New Roman"/>
        </w:rPr>
        <w:t xml:space="preserve"> Article 23-A of the New York Correction Law prohibits the denial of a job or license because of a conviction record unless there is a direct relationship between the work and the offense, or employing or licensing the worker would involve an unreasonable risk to people or property</w:t>
      </w:r>
      <w:r w:rsidR="0095421B">
        <w:rPr>
          <w:rFonts w:ascii="Times New Roman" w:hAnsi="Times New Roman" w:cs="Times New Roman"/>
        </w:rPr>
        <w:t>.</w:t>
      </w:r>
      <w:r w:rsidR="0095421B">
        <w:rPr>
          <w:rStyle w:val="FootnoteReference"/>
          <w:rFonts w:ascii="Times New Roman" w:hAnsi="Times New Roman" w:cs="Times New Roman"/>
        </w:rPr>
        <w:footnoteReference w:id="13"/>
      </w:r>
      <w:r w:rsidRPr="009F6030">
        <w:rPr>
          <w:rFonts w:ascii="Times New Roman" w:hAnsi="Times New Roman" w:cs="Times New Roman"/>
        </w:rPr>
        <w:t xml:space="preserve"> </w:t>
      </w:r>
      <w:r w:rsidR="0095421B">
        <w:rPr>
          <w:rFonts w:ascii="Times New Roman" w:hAnsi="Times New Roman" w:cs="Times New Roman"/>
        </w:rPr>
        <w:t>W</w:t>
      </w:r>
      <w:r w:rsidRPr="009F6030">
        <w:rPr>
          <w:rFonts w:ascii="Times New Roman" w:hAnsi="Times New Roman" w:cs="Times New Roman"/>
        </w:rPr>
        <w:t xml:space="preserve">hether a “direct relationship” or “unreasonable risk” exists depends on an analysis of eight factors, including New York’s public policy encouraging employment of people with criminal records, the offense’s impact on the worker’s ability to perform their specific job duties, the amount of time that has elapsed since the worker committed </w:t>
      </w:r>
      <w:r w:rsidRPr="009F6030">
        <w:rPr>
          <w:rFonts w:ascii="Times New Roman" w:hAnsi="Times New Roman" w:cs="Times New Roman"/>
        </w:rPr>
        <w:lastRenderedPageBreak/>
        <w:t>the offense, the worker’s age at the time of the offense, and the worker’s evidence of rehabilitation and good conduct.</w:t>
      </w:r>
      <w:r w:rsidRPr="009F6030">
        <w:rPr>
          <w:rFonts w:ascii="Times New Roman" w:eastAsia="Helvetica Neue" w:hAnsi="Times New Roman" w:cs="Times New Roman"/>
          <w:vertAlign w:val="superscript"/>
        </w:rPr>
        <w:footnoteReference w:id="14"/>
      </w:r>
      <w:r w:rsidRPr="009F6030">
        <w:rPr>
          <w:rFonts w:ascii="Times New Roman" w:hAnsi="Times New Roman" w:cs="Times New Roman"/>
        </w:rPr>
        <w:t xml:space="preserve"> </w:t>
      </w:r>
      <w:r w:rsidR="0095421B">
        <w:rPr>
          <w:rFonts w:ascii="Times New Roman" w:hAnsi="Times New Roman" w:cs="Times New Roman"/>
        </w:rPr>
        <w:t xml:space="preserve">In addition, </w:t>
      </w:r>
      <w:r w:rsidR="00473351">
        <w:rPr>
          <w:rFonts w:ascii="Times New Roman" w:hAnsi="Times New Roman" w:cs="Times New Roman"/>
        </w:rPr>
        <w:t>t</w:t>
      </w:r>
      <w:r w:rsidRPr="009F6030">
        <w:rPr>
          <w:rFonts w:ascii="Times New Roman" w:hAnsi="Times New Roman" w:cs="Times New Roman"/>
        </w:rPr>
        <w:t>he New York City Fair Chance Act postpones an employer’s inquiry into a worker’s criminal record until after the employer makes a conditional job offer.</w:t>
      </w:r>
      <w:r w:rsidR="0095421B">
        <w:rPr>
          <w:rStyle w:val="FootnoteReference"/>
          <w:rFonts w:ascii="Times New Roman" w:hAnsi="Times New Roman" w:cs="Times New Roman"/>
        </w:rPr>
        <w:footnoteReference w:id="15"/>
      </w:r>
      <w:r w:rsidRPr="009F6030">
        <w:rPr>
          <w:rFonts w:ascii="Times New Roman" w:hAnsi="Times New Roman" w:cs="Times New Roman"/>
        </w:rPr>
        <w:t xml:space="preserve"> After the employer offers the job, </w:t>
      </w:r>
      <w:r w:rsidR="003A28BF">
        <w:rPr>
          <w:rFonts w:ascii="Times New Roman" w:hAnsi="Times New Roman" w:cs="Times New Roman"/>
        </w:rPr>
        <w:t xml:space="preserve">it </w:t>
      </w:r>
      <w:r w:rsidR="0095421B">
        <w:rPr>
          <w:rFonts w:ascii="Times New Roman" w:hAnsi="Times New Roman" w:cs="Times New Roman"/>
        </w:rPr>
        <w:t xml:space="preserve">must follow a number of steps </w:t>
      </w:r>
      <w:r w:rsidR="003A28BF">
        <w:rPr>
          <w:rFonts w:ascii="Times New Roman" w:hAnsi="Times New Roman" w:cs="Times New Roman"/>
        </w:rPr>
        <w:t xml:space="preserve">if it seeks to </w:t>
      </w:r>
      <w:r w:rsidR="0095421B">
        <w:rPr>
          <w:rFonts w:ascii="Times New Roman" w:hAnsi="Times New Roman" w:cs="Times New Roman"/>
        </w:rPr>
        <w:t xml:space="preserve">withdraw the conditional offer on the </w:t>
      </w:r>
      <w:r w:rsidRPr="009F6030">
        <w:rPr>
          <w:rFonts w:ascii="Times New Roman" w:hAnsi="Times New Roman" w:cs="Times New Roman"/>
        </w:rPr>
        <w:t>basis of the worker’s conviction record</w:t>
      </w:r>
      <w:r w:rsidR="0095421B">
        <w:rPr>
          <w:rFonts w:ascii="Times New Roman" w:hAnsi="Times New Roman" w:cs="Times New Roman"/>
        </w:rPr>
        <w:t>.</w:t>
      </w:r>
      <w:r w:rsidRPr="009F6030">
        <w:rPr>
          <w:rFonts w:ascii="Times New Roman" w:hAnsi="Times New Roman" w:cs="Times New Roman"/>
        </w:rPr>
        <w:t xml:space="preserve"> </w:t>
      </w:r>
      <w:r w:rsidR="0095421B">
        <w:rPr>
          <w:rFonts w:ascii="Times New Roman" w:hAnsi="Times New Roman" w:cs="Times New Roman"/>
        </w:rPr>
        <w:t>T</w:t>
      </w:r>
      <w:r w:rsidRPr="009F6030">
        <w:rPr>
          <w:rFonts w:ascii="Times New Roman" w:hAnsi="Times New Roman" w:cs="Times New Roman"/>
        </w:rPr>
        <w:t xml:space="preserve">he employer </w:t>
      </w:r>
      <w:r w:rsidR="0095421B">
        <w:rPr>
          <w:rFonts w:ascii="Times New Roman" w:hAnsi="Times New Roman" w:cs="Times New Roman"/>
        </w:rPr>
        <w:t xml:space="preserve">must </w:t>
      </w:r>
      <w:r w:rsidRPr="009F6030">
        <w:rPr>
          <w:rFonts w:ascii="Times New Roman" w:hAnsi="Times New Roman" w:cs="Times New Roman"/>
        </w:rPr>
        <w:t>properly evaluate the eight Article 23-A factors and determine</w:t>
      </w:r>
      <w:r w:rsidR="001A12FC">
        <w:rPr>
          <w:rFonts w:ascii="Times New Roman" w:hAnsi="Times New Roman" w:cs="Times New Roman"/>
        </w:rPr>
        <w:t xml:space="preserve"> whether</w:t>
      </w:r>
      <w:r w:rsidRPr="009F6030">
        <w:rPr>
          <w:rFonts w:ascii="Times New Roman" w:hAnsi="Times New Roman" w:cs="Times New Roman"/>
        </w:rPr>
        <w:t xml:space="preserve"> the </w:t>
      </w:r>
      <w:r w:rsidR="009E3139">
        <w:rPr>
          <w:rFonts w:ascii="Times New Roman" w:hAnsi="Times New Roman" w:cs="Times New Roman"/>
        </w:rPr>
        <w:t xml:space="preserve">aforementioned </w:t>
      </w:r>
      <w:r w:rsidRPr="009F6030">
        <w:rPr>
          <w:rFonts w:ascii="Times New Roman" w:hAnsi="Times New Roman" w:cs="Times New Roman"/>
        </w:rPr>
        <w:t>direct relationship</w:t>
      </w:r>
      <w:r w:rsidR="009E3139">
        <w:rPr>
          <w:rFonts w:ascii="Times New Roman" w:hAnsi="Times New Roman" w:cs="Times New Roman"/>
        </w:rPr>
        <w:t xml:space="preserve"> or </w:t>
      </w:r>
      <w:r w:rsidRPr="009F6030">
        <w:rPr>
          <w:rFonts w:ascii="Times New Roman" w:hAnsi="Times New Roman" w:cs="Times New Roman"/>
        </w:rPr>
        <w:t>unreasonable risk</w:t>
      </w:r>
      <w:r w:rsidR="001A12FC">
        <w:rPr>
          <w:rFonts w:ascii="Times New Roman" w:hAnsi="Times New Roman" w:cs="Times New Roman"/>
        </w:rPr>
        <w:t xml:space="preserve"> </w:t>
      </w:r>
      <w:r w:rsidR="009E3139">
        <w:rPr>
          <w:rFonts w:ascii="Times New Roman" w:hAnsi="Times New Roman" w:cs="Times New Roman"/>
        </w:rPr>
        <w:t>categories apply</w:t>
      </w:r>
      <w:r w:rsidR="001A12FC">
        <w:rPr>
          <w:rFonts w:ascii="Times New Roman" w:hAnsi="Times New Roman" w:cs="Times New Roman"/>
        </w:rPr>
        <w:t>.</w:t>
      </w:r>
      <w:r w:rsidR="001A12FC">
        <w:rPr>
          <w:rStyle w:val="FootnoteReference"/>
          <w:rFonts w:ascii="Times New Roman" w:hAnsi="Times New Roman" w:cs="Times New Roman"/>
        </w:rPr>
        <w:footnoteReference w:id="16"/>
      </w:r>
      <w:r w:rsidR="001A12FC">
        <w:rPr>
          <w:rFonts w:ascii="Times New Roman" w:hAnsi="Times New Roman" w:cs="Times New Roman"/>
        </w:rPr>
        <w:t xml:space="preserve"> If </w:t>
      </w:r>
      <w:r w:rsidR="003A28BF">
        <w:rPr>
          <w:rFonts w:ascii="Times New Roman" w:hAnsi="Times New Roman" w:cs="Times New Roman"/>
        </w:rPr>
        <w:t>a direct relationship or unreasonable risk exists</w:t>
      </w:r>
      <w:r w:rsidR="001A12FC">
        <w:rPr>
          <w:rFonts w:ascii="Times New Roman" w:hAnsi="Times New Roman" w:cs="Times New Roman"/>
        </w:rPr>
        <w:t>, t</w:t>
      </w:r>
      <w:r w:rsidR="006B631D">
        <w:rPr>
          <w:rFonts w:ascii="Times New Roman" w:hAnsi="Times New Roman" w:cs="Times New Roman"/>
        </w:rPr>
        <w:t xml:space="preserve">he employer must </w:t>
      </w:r>
      <w:r w:rsidRPr="009F6030">
        <w:rPr>
          <w:rFonts w:ascii="Times New Roman" w:hAnsi="Times New Roman" w:cs="Times New Roman"/>
        </w:rPr>
        <w:t xml:space="preserve">give the worker a “Fair Chance Act Notice” (an individualized document that explains in specific detail precisely how the employer weighed the factors), </w:t>
      </w:r>
      <w:r w:rsidR="006B631D">
        <w:rPr>
          <w:rFonts w:ascii="Times New Roman" w:hAnsi="Times New Roman" w:cs="Times New Roman"/>
        </w:rPr>
        <w:t xml:space="preserve">and </w:t>
      </w:r>
      <w:r w:rsidRPr="009F6030">
        <w:rPr>
          <w:rFonts w:ascii="Times New Roman" w:hAnsi="Times New Roman" w:cs="Times New Roman"/>
        </w:rPr>
        <w:t xml:space="preserve">a copy of any background check </w:t>
      </w:r>
      <w:r w:rsidR="003A28BF">
        <w:rPr>
          <w:rFonts w:ascii="Times New Roman" w:hAnsi="Times New Roman" w:cs="Times New Roman"/>
        </w:rPr>
        <w:t>it</w:t>
      </w:r>
      <w:r w:rsidRPr="009F6030">
        <w:rPr>
          <w:rFonts w:ascii="Times New Roman" w:hAnsi="Times New Roman" w:cs="Times New Roman"/>
        </w:rPr>
        <w:t xml:space="preserve"> ran</w:t>
      </w:r>
      <w:r w:rsidR="006B631D">
        <w:rPr>
          <w:rFonts w:ascii="Times New Roman" w:hAnsi="Times New Roman" w:cs="Times New Roman"/>
        </w:rPr>
        <w:t>.</w:t>
      </w:r>
      <w:r w:rsidR="006B631D">
        <w:rPr>
          <w:rStyle w:val="FootnoteReference"/>
          <w:rFonts w:ascii="Times New Roman" w:hAnsi="Times New Roman" w:cs="Times New Roman"/>
        </w:rPr>
        <w:footnoteReference w:id="17"/>
      </w:r>
      <w:r w:rsidRPr="009F6030">
        <w:rPr>
          <w:rFonts w:ascii="Times New Roman" w:hAnsi="Times New Roman" w:cs="Times New Roman"/>
        </w:rPr>
        <w:t xml:space="preserve"> </w:t>
      </w:r>
      <w:r w:rsidR="009E3139">
        <w:rPr>
          <w:rFonts w:ascii="Times New Roman" w:hAnsi="Times New Roman" w:cs="Times New Roman"/>
        </w:rPr>
        <w:t xml:space="preserve">The employer must also </w:t>
      </w:r>
      <w:r w:rsidR="006B631D">
        <w:rPr>
          <w:rFonts w:ascii="Times New Roman" w:hAnsi="Times New Roman" w:cs="Times New Roman"/>
        </w:rPr>
        <w:t>giv</w:t>
      </w:r>
      <w:r w:rsidR="009E3139">
        <w:rPr>
          <w:rFonts w:ascii="Times New Roman" w:hAnsi="Times New Roman" w:cs="Times New Roman"/>
        </w:rPr>
        <w:t>e</w:t>
      </w:r>
      <w:r w:rsidR="006B631D">
        <w:rPr>
          <w:rFonts w:ascii="Times New Roman" w:hAnsi="Times New Roman" w:cs="Times New Roman"/>
        </w:rPr>
        <w:t xml:space="preserve"> the</w:t>
      </w:r>
      <w:r w:rsidRPr="009F6030">
        <w:rPr>
          <w:rFonts w:ascii="Times New Roman" w:hAnsi="Times New Roman" w:cs="Times New Roman"/>
        </w:rPr>
        <w:t xml:space="preserve"> worker a reasonable time of at least three business days to respond to these documents</w:t>
      </w:r>
      <w:r w:rsidR="009E3139">
        <w:rPr>
          <w:rFonts w:ascii="Times New Roman" w:hAnsi="Times New Roman" w:cs="Times New Roman"/>
        </w:rPr>
        <w:t>, and must hold the position open during that time.</w:t>
      </w:r>
      <w:r w:rsidR="005D6A6C">
        <w:rPr>
          <w:rStyle w:val="FootnoteReference"/>
          <w:rFonts w:ascii="Times New Roman" w:hAnsi="Times New Roman" w:cs="Times New Roman"/>
        </w:rPr>
        <w:footnoteReference w:id="18"/>
      </w:r>
      <w:r w:rsidRPr="009F6030">
        <w:rPr>
          <w:rFonts w:ascii="Times New Roman" w:hAnsi="Times New Roman" w:cs="Times New Roman"/>
        </w:rPr>
        <w:t xml:space="preserve"> </w:t>
      </w:r>
      <w:r w:rsidR="009E3139">
        <w:rPr>
          <w:rFonts w:ascii="Times New Roman" w:hAnsi="Times New Roman" w:cs="Times New Roman"/>
        </w:rPr>
        <w:t>I</w:t>
      </w:r>
      <w:r w:rsidR="006B631D">
        <w:rPr>
          <w:rFonts w:ascii="Times New Roman" w:hAnsi="Times New Roman" w:cs="Times New Roman"/>
        </w:rPr>
        <w:t>f</w:t>
      </w:r>
      <w:r w:rsidR="009E3139">
        <w:rPr>
          <w:rFonts w:ascii="Times New Roman" w:hAnsi="Times New Roman" w:cs="Times New Roman"/>
        </w:rPr>
        <w:t>, upon reviewing the worker’s response to the documents,</w:t>
      </w:r>
      <w:r w:rsidR="006B631D">
        <w:rPr>
          <w:rFonts w:ascii="Times New Roman" w:hAnsi="Times New Roman" w:cs="Times New Roman"/>
        </w:rPr>
        <w:t xml:space="preserve"> the employer</w:t>
      </w:r>
      <w:r w:rsidRPr="009F6030">
        <w:rPr>
          <w:rFonts w:ascii="Times New Roman" w:hAnsi="Times New Roman" w:cs="Times New Roman"/>
        </w:rPr>
        <w:t xml:space="preserve"> then properly determines again that there is a direct relationship or unreasonable risk</w:t>
      </w:r>
      <w:r w:rsidR="006B631D">
        <w:rPr>
          <w:rFonts w:ascii="Times New Roman" w:hAnsi="Times New Roman" w:cs="Times New Roman"/>
        </w:rPr>
        <w:t xml:space="preserve">, </w:t>
      </w:r>
      <w:r w:rsidR="003A28BF">
        <w:rPr>
          <w:rFonts w:ascii="Times New Roman" w:hAnsi="Times New Roman" w:cs="Times New Roman"/>
        </w:rPr>
        <w:t xml:space="preserve">it </w:t>
      </w:r>
      <w:r w:rsidR="006B631D">
        <w:rPr>
          <w:rFonts w:ascii="Times New Roman" w:hAnsi="Times New Roman" w:cs="Times New Roman"/>
        </w:rPr>
        <w:t>may withdraw the job offer</w:t>
      </w:r>
      <w:r w:rsidRPr="009F6030">
        <w:rPr>
          <w:rFonts w:ascii="Times New Roman" w:hAnsi="Times New Roman" w:cs="Times New Roman"/>
        </w:rPr>
        <w:t>.</w:t>
      </w:r>
      <w:r w:rsidRPr="009F6030">
        <w:rPr>
          <w:rFonts w:ascii="Times New Roman" w:eastAsia="Helvetica Neue" w:hAnsi="Times New Roman" w:cs="Times New Roman"/>
          <w:vertAlign w:val="superscript"/>
        </w:rPr>
        <w:footnoteReference w:id="19"/>
      </w:r>
    </w:p>
    <w:p w14:paraId="20B6471F" w14:textId="489E8C64"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Few New Yorkers know that the above laws exist. Instead, many of the workers who contact the Worker Justice Project incorrectly assume that employers have total discretion to discriminate based on an arrest or conviction record. When they contact us, our first responsibility is to explain to them that they have rights, and to tell them how they can defend those rights. In 2019, we provided individu</w:t>
      </w:r>
      <w:r w:rsidR="00090E2F" w:rsidRPr="009F6030">
        <w:rPr>
          <w:rFonts w:ascii="Times New Roman" w:hAnsi="Times New Roman" w:cs="Times New Roman"/>
        </w:rPr>
        <w:t>alized advice and counsel to 302</w:t>
      </w:r>
      <w:r w:rsidRPr="009F6030">
        <w:rPr>
          <w:rFonts w:ascii="Times New Roman" w:hAnsi="Times New Roman" w:cs="Times New Roman"/>
        </w:rPr>
        <w:t xml:space="preserve"> New Yorkers. </w:t>
      </w:r>
    </w:p>
    <w:p w14:paraId="0BD33127" w14:textId="6B427EE7"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In addition, many of the people who contact us are confused or discouraged by the Fair Chance Act Notice. Instead of viewing the Fair Chance Act Notice as an opportunity to explain their conviction record and their accomplishments, they believe it is pointless to respond and choose not to do so. Even when they want to respond, they often do not know how to compile a response within the three business days allotted to them by employers. </w:t>
      </w:r>
    </w:p>
    <w:p w14:paraId="4011642F" w14:textId="2E90D802"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Based on the Worker Justice Project’s experience speaking with New Yorkers, we believe it is essential for every worker with a conviction record to have a pre-prepared written response to the Fair Chance Act Notice. The three-day window to respond to the Fair Chance Act Notice is simply too short unless a worker already has a pre-prepared response. In the Worker Justice Project, we call these pre-prepared responses “accomplishment packets.” Accomplishment packets generally contain</w:t>
      </w:r>
      <w:r w:rsidR="006B631D">
        <w:rPr>
          <w:rFonts w:ascii="Times New Roman" w:hAnsi="Times New Roman" w:cs="Times New Roman"/>
        </w:rPr>
        <w:t xml:space="preserve"> two </w:t>
      </w:r>
      <w:r w:rsidR="00EA199A">
        <w:rPr>
          <w:rFonts w:ascii="Times New Roman" w:hAnsi="Times New Roman" w:cs="Times New Roman"/>
        </w:rPr>
        <w:t>parts</w:t>
      </w:r>
      <w:r w:rsidR="006B631D">
        <w:rPr>
          <w:rFonts w:ascii="Times New Roman" w:hAnsi="Times New Roman" w:cs="Times New Roman"/>
        </w:rPr>
        <w:t>.</w:t>
      </w:r>
      <w:r w:rsidRPr="009F6030">
        <w:rPr>
          <w:rFonts w:ascii="Times New Roman" w:hAnsi="Times New Roman" w:cs="Times New Roman"/>
        </w:rPr>
        <w:t xml:space="preserve"> </w:t>
      </w:r>
      <w:r w:rsidR="006B631D">
        <w:rPr>
          <w:rFonts w:ascii="Times New Roman" w:hAnsi="Times New Roman" w:cs="Times New Roman"/>
        </w:rPr>
        <w:t>The first is</w:t>
      </w:r>
      <w:r w:rsidRPr="009F6030">
        <w:rPr>
          <w:rFonts w:ascii="Times New Roman" w:hAnsi="Times New Roman" w:cs="Times New Roman"/>
        </w:rPr>
        <w:t xml:space="preserve"> a personal statement that sometimes explains the facts of the offenses for which the worker was convicted and always describes the worker’s accomplishments</w:t>
      </w:r>
      <w:r w:rsidR="00D02C7A">
        <w:rPr>
          <w:rFonts w:ascii="Times New Roman" w:hAnsi="Times New Roman" w:cs="Times New Roman"/>
        </w:rPr>
        <w:t xml:space="preserve">, </w:t>
      </w:r>
      <w:r w:rsidRPr="009F6030">
        <w:rPr>
          <w:rFonts w:ascii="Times New Roman" w:hAnsi="Times New Roman" w:cs="Times New Roman"/>
        </w:rPr>
        <w:t>especially since the time of their most recent offense</w:t>
      </w:r>
      <w:r w:rsidR="006B631D">
        <w:rPr>
          <w:rFonts w:ascii="Times New Roman" w:hAnsi="Times New Roman" w:cs="Times New Roman"/>
        </w:rPr>
        <w:t xml:space="preserve">. </w:t>
      </w:r>
      <w:r w:rsidR="006B631D">
        <w:rPr>
          <w:rFonts w:ascii="Times New Roman" w:hAnsi="Times New Roman" w:cs="Times New Roman"/>
        </w:rPr>
        <w:lastRenderedPageBreak/>
        <w:t>The second is</w:t>
      </w:r>
      <w:r w:rsidRPr="009F6030">
        <w:rPr>
          <w:rFonts w:ascii="Times New Roman" w:hAnsi="Times New Roman" w:cs="Times New Roman"/>
        </w:rPr>
        <w:t xml:space="preserve"> evidence of their accomplishments, such as letters of recommendation from employers, teachers, and counselors</w:t>
      </w:r>
      <w:r w:rsidR="00E50C04">
        <w:rPr>
          <w:rFonts w:ascii="Times New Roman" w:hAnsi="Times New Roman" w:cs="Times New Roman"/>
        </w:rPr>
        <w:t>;</w:t>
      </w:r>
      <w:r w:rsidRPr="009F6030">
        <w:rPr>
          <w:rFonts w:ascii="Times New Roman" w:hAnsi="Times New Roman" w:cs="Times New Roman"/>
        </w:rPr>
        <w:t xml:space="preserve"> </w:t>
      </w:r>
      <w:r w:rsidR="00E50C04">
        <w:rPr>
          <w:rFonts w:ascii="Times New Roman" w:hAnsi="Times New Roman" w:cs="Times New Roman"/>
        </w:rPr>
        <w:t xml:space="preserve">proof of their employment history; </w:t>
      </w:r>
      <w:r w:rsidRPr="009F6030">
        <w:rPr>
          <w:rFonts w:ascii="Times New Roman" w:hAnsi="Times New Roman" w:cs="Times New Roman"/>
        </w:rPr>
        <w:t xml:space="preserve">and </w:t>
      </w:r>
      <w:r w:rsidR="00D02C7A">
        <w:rPr>
          <w:rFonts w:ascii="Times New Roman" w:hAnsi="Times New Roman" w:cs="Times New Roman"/>
        </w:rPr>
        <w:t>documentation</w:t>
      </w:r>
      <w:r w:rsidR="00D02C7A" w:rsidRPr="009F6030">
        <w:rPr>
          <w:rFonts w:ascii="Times New Roman" w:hAnsi="Times New Roman" w:cs="Times New Roman"/>
        </w:rPr>
        <w:t xml:space="preserve"> </w:t>
      </w:r>
      <w:r w:rsidR="00E50C04">
        <w:rPr>
          <w:rFonts w:ascii="Times New Roman" w:hAnsi="Times New Roman" w:cs="Times New Roman"/>
        </w:rPr>
        <w:t>that they have attended school</w:t>
      </w:r>
      <w:r w:rsidRPr="009F6030">
        <w:rPr>
          <w:rFonts w:ascii="Times New Roman" w:hAnsi="Times New Roman" w:cs="Times New Roman"/>
        </w:rPr>
        <w:t>, job training, counseling, and other programs such as anger management. Although we sometimes help workers respond to the Fair Chance Act Notice within the three-day window, we more often help them prepare these accomplishment packets in advance so that they can provide them to any employer who gives them a Fair Chance Act Notice. We email a Microsoft Word version of the personal statement to the worker so that they can update the personal statement themselves as they gain accomplishments over time. Employers sometimes respond to these accomplishment packets by hiring the worker.</w:t>
      </w:r>
      <w:bookmarkStart w:id="2" w:name="_Ref35069984"/>
      <w:r w:rsidR="004903FE" w:rsidRPr="004903FE">
        <w:rPr>
          <w:rStyle w:val="FootnoteReference"/>
          <w:rFonts w:ascii="Times New Roman" w:hAnsi="Times New Roman" w:cs="Times New Roman"/>
        </w:rPr>
        <w:t xml:space="preserve"> </w:t>
      </w:r>
      <w:bookmarkStart w:id="3" w:name="_Ref35181077"/>
      <w:r w:rsidR="004903FE">
        <w:rPr>
          <w:rStyle w:val="FootnoteReference"/>
          <w:rFonts w:ascii="Times New Roman" w:hAnsi="Times New Roman" w:cs="Times New Roman"/>
        </w:rPr>
        <w:footnoteReference w:id="20"/>
      </w:r>
      <w:bookmarkEnd w:id="2"/>
      <w:bookmarkEnd w:id="3"/>
      <w:r w:rsidRPr="009F6030">
        <w:rPr>
          <w:rFonts w:ascii="Times New Roman" w:hAnsi="Times New Roman" w:cs="Times New Roman"/>
        </w:rPr>
        <w:t xml:space="preserve"> If they do not hire the worker, the fact that the worker has provided the accomplishment packet will lend strength to any employment discrimination action they </w:t>
      </w:r>
      <w:r w:rsidR="006B631D">
        <w:rPr>
          <w:rFonts w:ascii="Times New Roman" w:hAnsi="Times New Roman" w:cs="Times New Roman"/>
        </w:rPr>
        <w:t xml:space="preserve">might </w:t>
      </w:r>
      <w:r w:rsidRPr="009F6030">
        <w:rPr>
          <w:rFonts w:ascii="Times New Roman" w:hAnsi="Times New Roman" w:cs="Times New Roman"/>
        </w:rPr>
        <w:t xml:space="preserve">bring against </w:t>
      </w:r>
      <w:r w:rsidR="007D2326" w:rsidRPr="009F6030">
        <w:rPr>
          <w:rFonts w:ascii="Times New Roman" w:hAnsi="Times New Roman" w:cs="Times New Roman"/>
        </w:rPr>
        <w:t>t</w:t>
      </w:r>
      <w:r w:rsidRPr="009F6030">
        <w:rPr>
          <w:rFonts w:ascii="Times New Roman" w:hAnsi="Times New Roman" w:cs="Times New Roman"/>
        </w:rPr>
        <w:t>he employer.</w:t>
      </w:r>
    </w:p>
    <w:p w14:paraId="763D2FB2" w14:textId="4BC6AF0C"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To increase the number of accomplishment packets the Worker Justice Project can prepare, we organize biannual clinics staffed by volunteers from our pro bono partners in the private sector.</w:t>
      </w:r>
      <w:r w:rsidR="00F7443E">
        <w:rPr>
          <w:rStyle w:val="FootnoteReference"/>
          <w:rFonts w:ascii="Times New Roman" w:hAnsi="Times New Roman" w:cs="Times New Roman"/>
        </w:rPr>
        <w:footnoteReference w:id="21"/>
      </w:r>
      <w:r w:rsidRPr="009F6030">
        <w:rPr>
          <w:rFonts w:ascii="Times New Roman" w:hAnsi="Times New Roman" w:cs="Times New Roman"/>
        </w:rPr>
        <w:t xml:space="preserve"> Each attendee leaves the clinic with an accomplishment packet, along with a completed application for a legal document called a “certificate of relief from disabilities” or “certificate of good conduct.” These documents are issued by the courts or the Department of Corrections and Community Supervision, and </w:t>
      </w:r>
      <w:r w:rsidR="00C91B24">
        <w:rPr>
          <w:rFonts w:ascii="Times New Roman" w:hAnsi="Times New Roman" w:cs="Times New Roman"/>
        </w:rPr>
        <w:t xml:space="preserve">they </w:t>
      </w:r>
      <w:r w:rsidRPr="009F6030">
        <w:rPr>
          <w:rFonts w:ascii="Times New Roman" w:hAnsi="Times New Roman" w:cs="Times New Roman"/>
        </w:rPr>
        <w:t>regularly reduce barriers to employment. In 2019, within and outside of our two clinics, we prepared 45 accomplishment packets and 46 applications for certificates of relief and certificates of good conduct.</w:t>
      </w:r>
    </w:p>
    <w:p w14:paraId="245BAA97" w14:textId="57A383D8"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Of course, even using the clinic model, it is impossible for us to provide individualized advice and assistance to all of the workers with records in New York City. Therefore, we also engage in large-scale Know Your Rights education. We have created three Know Your Rights manuals</w:t>
      </w:r>
      <w:r w:rsidR="008E35CA">
        <w:rPr>
          <w:rStyle w:val="FootnoteReference"/>
          <w:rFonts w:ascii="Times New Roman" w:hAnsi="Times New Roman" w:cs="Times New Roman"/>
        </w:rPr>
        <w:footnoteReference w:id="22"/>
      </w:r>
      <w:r w:rsidRPr="009F6030">
        <w:rPr>
          <w:rFonts w:ascii="Times New Roman" w:hAnsi="Times New Roman" w:cs="Times New Roman"/>
        </w:rPr>
        <w:t xml:space="preserve"> that appear on The Legal Aid Society website and are distributed in each Legal Aid office, at community-based organizations’ offices, and in legislators’ offices. We also conduct Know Your </w:t>
      </w:r>
      <w:r w:rsidRPr="009F6030">
        <w:rPr>
          <w:rFonts w:ascii="Times New Roman" w:hAnsi="Times New Roman" w:cs="Times New Roman"/>
        </w:rPr>
        <w:lastRenderedPageBreak/>
        <w:t xml:space="preserve">Rights trainings by working with community-based organizations and at clinics staffed by The Legal Aid Society. </w:t>
      </w:r>
    </w:p>
    <w:p w14:paraId="6BAC1E1F" w14:textId="77777777" w:rsidR="007D4D71" w:rsidRPr="009F6030" w:rsidRDefault="007D4D71" w:rsidP="009F6030">
      <w:pPr>
        <w:pStyle w:val="Body"/>
        <w:ind w:firstLine="720"/>
        <w:jc w:val="both"/>
        <w:rPr>
          <w:rFonts w:ascii="Times New Roman" w:hAnsi="Times New Roman" w:cs="Times New Roman"/>
        </w:rPr>
      </w:pPr>
    </w:p>
    <w:p w14:paraId="450C7F1A" w14:textId="77777777" w:rsidR="007D4D71" w:rsidRPr="009F6030" w:rsidRDefault="004452CA" w:rsidP="009F6030">
      <w:pPr>
        <w:pStyle w:val="Body"/>
        <w:jc w:val="center"/>
        <w:rPr>
          <w:rFonts w:ascii="Times New Roman" w:hAnsi="Times New Roman" w:cs="Times New Roman"/>
          <w:b/>
          <w:bCs/>
        </w:rPr>
      </w:pPr>
      <w:r w:rsidRPr="009F6030">
        <w:rPr>
          <w:rFonts w:ascii="Times New Roman" w:hAnsi="Times New Roman" w:cs="Times New Roman"/>
          <w:b/>
          <w:bCs/>
        </w:rPr>
        <w:t>Strategy 3: Enforce the rights of workers who are unlawfully denied jobs or licenses by representing them in administrative proceedings, pre-litigation advocacy, and affirmative litigation.</w:t>
      </w:r>
    </w:p>
    <w:p w14:paraId="0B74DB65" w14:textId="77777777" w:rsidR="007D4D71" w:rsidRPr="009F6030" w:rsidRDefault="007D4D71" w:rsidP="009F6030">
      <w:pPr>
        <w:pStyle w:val="Body"/>
        <w:ind w:firstLine="720"/>
        <w:jc w:val="both"/>
        <w:rPr>
          <w:rFonts w:ascii="Times New Roman" w:hAnsi="Times New Roman" w:cs="Times New Roman"/>
        </w:rPr>
      </w:pPr>
    </w:p>
    <w:p w14:paraId="1D116818" w14:textId="723E32F9"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There is a reason why few New Yorkers know about the above-mentioned laws: criminal record discrimination laws are rarely enforced. Employers blatantly violate </w:t>
      </w:r>
      <w:r w:rsidR="00F41588">
        <w:rPr>
          <w:rFonts w:ascii="Times New Roman" w:hAnsi="Times New Roman" w:cs="Times New Roman"/>
        </w:rPr>
        <w:t>these</w:t>
      </w:r>
      <w:r w:rsidRPr="009F6030">
        <w:rPr>
          <w:rFonts w:ascii="Times New Roman" w:hAnsi="Times New Roman" w:cs="Times New Roman"/>
        </w:rPr>
        <w:t xml:space="preserve"> laws, either because they do not know that the laws exist or because they believe that workers with records will not assert their rights. Therefore, each time the Worker Justice Project </w:t>
      </w:r>
      <w:r w:rsidR="00C077D4">
        <w:rPr>
          <w:rFonts w:ascii="Times New Roman" w:hAnsi="Times New Roman" w:cs="Times New Roman"/>
        </w:rPr>
        <w:t>tells</w:t>
      </w:r>
      <w:r w:rsidR="00C077D4" w:rsidRPr="009F6030">
        <w:rPr>
          <w:rFonts w:ascii="Times New Roman" w:hAnsi="Times New Roman" w:cs="Times New Roman"/>
        </w:rPr>
        <w:t xml:space="preserve"> </w:t>
      </w:r>
      <w:r w:rsidRPr="009F6030">
        <w:rPr>
          <w:rFonts w:ascii="Times New Roman" w:hAnsi="Times New Roman" w:cs="Times New Roman"/>
        </w:rPr>
        <w:t xml:space="preserve">an employer that </w:t>
      </w:r>
      <w:r w:rsidR="00C91B24">
        <w:rPr>
          <w:rFonts w:ascii="Times New Roman" w:hAnsi="Times New Roman" w:cs="Times New Roman"/>
        </w:rPr>
        <w:t>its</w:t>
      </w:r>
      <w:r w:rsidRPr="009F6030">
        <w:rPr>
          <w:rFonts w:ascii="Times New Roman" w:hAnsi="Times New Roman" w:cs="Times New Roman"/>
        </w:rPr>
        <w:t xml:space="preserve"> discrimination may entitle our client to financial remuneration, we are notifying </w:t>
      </w:r>
      <w:r w:rsidR="00C91B24">
        <w:rPr>
          <w:rFonts w:ascii="Times New Roman" w:hAnsi="Times New Roman" w:cs="Times New Roman"/>
        </w:rPr>
        <w:t>the employer</w:t>
      </w:r>
      <w:r w:rsidRPr="009F6030">
        <w:rPr>
          <w:rFonts w:ascii="Times New Roman" w:hAnsi="Times New Roman" w:cs="Times New Roman"/>
        </w:rPr>
        <w:t xml:space="preserve"> that </w:t>
      </w:r>
      <w:r w:rsidR="00C91B24">
        <w:rPr>
          <w:rFonts w:ascii="Times New Roman" w:hAnsi="Times New Roman" w:cs="Times New Roman"/>
        </w:rPr>
        <w:t>its</w:t>
      </w:r>
      <w:r w:rsidR="00C91B24" w:rsidRPr="009F6030">
        <w:rPr>
          <w:rFonts w:ascii="Times New Roman" w:hAnsi="Times New Roman" w:cs="Times New Roman"/>
        </w:rPr>
        <w:t xml:space="preserve"> </w:t>
      </w:r>
      <w:r w:rsidRPr="009F6030">
        <w:rPr>
          <w:rFonts w:ascii="Times New Roman" w:hAnsi="Times New Roman" w:cs="Times New Roman"/>
        </w:rPr>
        <w:t>discrimination is illegal—and costly.</w:t>
      </w:r>
    </w:p>
    <w:p w14:paraId="3FD30F40" w14:textId="1D78C246"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Making employers see the cost of criminal record discrimination is essential, because background check companies have long told employers that hiring workers with criminal records will result in costly negligent hiring lawsuits.</w:t>
      </w:r>
      <w:r w:rsidRPr="009F6030">
        <w:rPr>
          <w:rFonts w:ascii="Times New Roman" w:eastAsia="Helvetica Neue" w:hAnsi="Times New Roman" w:cs="Times New Roman"/>
          <w:vertAlign w:val="superscript"/>
        </w:rPr>
        <w:footnoteReference w:id="23"/>
      </w:r>
      <w:r w:rsidRPr="009F6030">
        <w:rPr>
          <w:rFonts w:ascii="Times New Roman" w:hAnsi="Times New Roman" w:cs="Times New Roman"/>
        </w:rPr>
        <w:t xml:space="preserve"> Negligent hiring lawsuits related to people with pre-existing conviction records are rare,</w:t>
      </w:r>
      <w:r w:rsidRPr="009F6030">
        <w:rPr>
          <w:rFonts w:ascii="Times New Roman" w:eastAsia="Helvetica Neue" w:hAnsi="Times New Roman" w:cs="Times New Roman"/>
          <w:vertAlign w:val="superscript"/>
        </w:rPr>
        <w:footnoteReference w:id="24"/>
      </w:r>
      <w:r w:rsidRPr="009F6030">
        <w:rPr>
          <w:rFonts w:ascii="Times New Roman" w:hAnsi="Times New Roman" w:cs="Times New Roman"/>
        </w:rPr>
        <w:t xml:space="preserve"> but, right now, so are criminal record discrimination lawsuits. The greater the number of workers who file claims against employers for criminal record discrimination, and the more these claims affect employers’ bottom line</w:t>
      </w:r>
      <w:r w:rsidR="00DA0DD8">
        <w:rPr>
          <w:rFonts w:ascii="Times New Roman" w:hAnsi="Times New Roman" w:cs="Times New Roman"/>
        </w:rPr>
        <w:t>s</w:t>
      </w:r>
      <w:r w:rsidRPr="009F6030">
        <w:rPr>
          <w:rFonts w:ascii="Times New Roman" w:hAnsi="Times New Roman" w:cs="Times New Roman"/>
        </w:rPr>
        <w:t>, the less likely employers are to discriminate.</w:t>
      </w:r>
    </w:p>
    <w:p w14:paraId="1EFCDC60" w14:textId="4AD35EE9"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When a worker tells the Worker Justice Project that they have been denied employment because of their conviction record, we assess whether the employer’s behavior was unlawful. It often </w:t>
      </w:r>
      <w:r w:rsidR="00C91B24">
        <w:rPr>
          <w:rFonts w:ascii="Times New Roman" w:hAnsi="Times New Roman" w:cs="Times New Roman"/>
        </w:rPr>
        <w:t>was</w:t>
      </w:r>
      <w:r w:rsidRPr="009F6030">
        <w:rPr>
          <w:rFonts w:ascii="Times New Roman" w:hAnsi="Times New Roman" w:cs="Times New Roman"/>
        </w:rPr>
        <w:t xml:space="preserve">. We then speak with the worker to explain their options and discuss potential remedies. Many times, our client simply wants to work. If that is the case, we act quickly. Our typical course of action is to send a demand letter to the employer notifying </w:t>
      </w:r>
      <w:r w:rsidR="00C91B24">
        <w:rPr>
          <w:rFonts w:ascii="Times New Roman" w:hAnsi="Times New Roman" w:cs="Times New Roman"/>
        </w:rPr>
        <w:t>it</w:t>
      </w:r>
      <w:r w:rsidR="00C91B24" w:rsidRPr="009F6030">
        <w:rPr>
          <w:rFonts w:ascii="Times New Roman" w:hAnsi="Times New Roman" w:cs="Times New Roman"/>
        </w:rPr>
        <w:t xml:space="preserve"> </w:t>
      </w:r>
      <w:r w:rsidRPr="009F6030">
        <w:rPr>
          <w:rFonts w:ascii="Times New Roman" w:hAnsi="Times New Roman" w:cs="Times New Roman"/>
        </w:rPr>
        <w:t xml:space="preserve">of the damages to which </w:t>
      </w:r>
      <w:r w:rsidR="00C91B24">
        <w:rPr>
          <w:rFonts w:ascii="Times New Roman" w:hAnsi="Times New Roman" w:cs="Times New Roman"/>
        </w:rPr>
        <w:t>its</w:t>
      </w:r>
      <w:r w:rsidRPr="009F6030">
        <w:rPr>
          <w:rFonts w:ascii="Times New Roman" w:hAnsi="Times New Roman" w:cs="Times New Roman"/>
        </w:rPr>
        <w:t xml:space="preserve"> discrimination may entitle our client. Such letters are regularly successful in persuading the employer to give our client the job they should have received in the first place</w:t>
      </w:r>
      <w:r w:rsidR="00DA0DD8">
        <w:rPr>
          <w:rFonts w:ascii="Times New Roman" w:hAnsi="Times New Roman" w:cs="Times New Roman"/>
        </w:rPr>
        <w:t>—</w:t>
      </w:r>
      <w:r w:rsidRPr="009F6030">
        <w:rPr>
          <w:rFonts w:ascii="Times New Roman" w:hAnsi="Times New Roman" w:cs="Times New Roman"/>
        </w:rPr>
        <w:t>plus, sometimes, backpay for the period of time that the client was unemployed. When our client no longer seeks to work for the employer, or when the employer is unwilling to hire the client, we seek a financial settlement that compensates our client for the employer’s discrimination.</w:t>
      </w:r>
    </w:p>
    <w:p w14:paraId="659F0559" w14:textId="77B6403B" w:rsidR="00827893"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If our pre-litigation advocacy is unsuccessful, we are prepared to litigate our clients’ claims. In New York City, we are lucky to have an administrative agency—the New York City Commission on Human Rights—that is a national leader in </w:t>
      </w:r>
      <w:r w:rsidRPr="009F6030">
        <w:rPr>
          <w:rFonts w:ascii="Times New Roman" w:hAnsi="Times New Roman" w:cs="Times New Roman"/>
        </w:rPr>
        <w:lastRenderedPageBreak/>
        <w:t xml:space="preserve">enforcing criminal record discrimination claims. Sometimes, we file our clients’ claims at the City Commission on Human Rights. Other times, we choose to litigate our clients’ claims in state court or federal court. </w:t>
      </w:r>
    </w:p>
    <w:p w14:paraId="209D0332" w14:textId="0FAFE4B3"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Although some of our clients have old or minor convictions, many of the clients whom we represent have recent or serious convictions, including violent offenses and sex offenses. Indeed, the clients for whom our assistance is most valuable are those with recent or serious offenses, or who have recently be</w:t>
      </w:r>
      <w:r w:rsidR="00B94C9A" w:rsidRPr="009F6030">
        <w:rPr>
          <w:rFonts w:ascii="Times New Roman" w:hAnsi="Times New Roman" w:cs="Times New Roman"/>
        </w:rPr>
        <w:t>en released from incarceration</w:t>
      </w:r>
      <w:r w:rsidR="00DA0DD8">
        <w:rPr>
          <w:rFonts w:ascii="Times New Roman" w:hAnsi="Times New Roman" w:cs="Times New Roman"/>
        </w:rPr>
        <w:t>,</w:t>
      </w:r>
      <w:r w:rsidRPr="009F6030">
        <w:rPr>
          <w:rFonts w:ascii="Times New Roman" w:hAnsi="Times New Roman" w:cs="Times New Roman"/>
        </w:rPr>
        <w:t xml:space="preserve"> because these are the New Yorkers who are most likely to require a lawyer’s assistance in order to begin working. The judges who adjudicated these clients’ criminal proceedings did not sentence them to unemployment, and yet private employers and government agencies regularly effectuat</w:t>
      </w:r>
      <w:r w:rsidR="00B94C9A" w:rsidRPr="009F6030">
        <w:rPr>
          <w:rFonts w:ascii="Times New Roman" w:hAnsi="Times New Roman" w:cs="Times New Roman"/>
        </w:rPr>
        <w:t>e</w:t>
      </w:r>
      <w:r w:rsidRPr="009F6030">
        <w:rPr>
          <w:rFonts w:ascii="Times New Roman" w:hAnsi="Times New Roman" w:cs="Times New Roman"/>
        </w:rPr>
        <w:t xml:space="preserve"> just such a sentence. We are proud of asserting our clients’ rights against this unlawful behavior.</w:t>
      </w:r>
    </w:p>
    <w:p w14:paraId="4290632A" w14:textId="7EE9DFDD"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Finally, much of our advocacy involves representing clients in administrative proceedings when they are denied or at risk of being denied government licenses or </w:t>
      </w:r>
      <w:r w:rsidR="00DA0DD8">
        <w:rPr>
          <w:rFonts w:ascii="Times New Roman" w:hAnsi="Times New Roman" w:cs="Times New Roman"/>
        </w:rPr>
        <w:t xml:space="preserve">security </w:t>
      </w:r>
      <w:r w:rsidRPr="009F6030">
        <w:rPr>
          <w:rFonts w:ascii="Times New Roman" w:hAnsi="Times New Roman" w:cs="Times New Roman"/>
        </w:rPr>
        <w:t>clearance</w:t>
      </w:r>
      <w:r w:rsidR="00C91B24">
        <w:rPr>
          <w:rFonts w:ascii="Times New Roman" w:hAnsi="Times New Roman" w:cs="Times New Roman"/>
        </w:rPr>
        <w:t>s</w:t>
      </w:r>
      <w:r w:rsidRPr="009F6030">
        <w:rPr>
          <w:rFonts w:ascii="Times New Roman" w:hAnsi="Times New Roman" w:cs="Times New Roman"/>
        </w:rPr>
        <w:t xml:space="preserve">. We most commonly represent home health aides, certified nurse aides, security guards, and taxi drivers in these administrative proceedings. </w:t>
      </w:r>
      <w:r w:rsidR="00783565">
        <w:rPr>
          <w:rFonts w:ascii="Times New Roman" w:hAnsi="Times New Roman" w:cs="Times New Roman"/>
        </w:rPr>
        <w:t>W</w:t>
      </w:r>
      <w:r w:rsidRPr="009F6030">
        <w:rPr>
          <w:rFonts w:ascii="Times New Roman" w:hAnsi="Times New Roman" w:cs="Times New Roman"/>
        </w:rPr>
        <w:t>e are generally successful in persuading the administrative agencies to grant</w:t>
      </w:r>
      <w:r w:rsidR="00DA0DD8">
        <w:rPr>
          <w:rFonts w:ascii="Times New Roman" w:hAnsi="Times New Roman" w:cs="Times New Roman"/>
        </w:rPr>
        <w:t>—o</w:t>
      </w:r>
      <w:r w:rsidRPr="009F6030">
        <w:rPr>
          <w:rFonts w:ascii="Times New Roman" w:hAnsi="Times New Roman" w:cs="Times New Roman"/>
        </w:rPr>
        <w:t xml:space="preserve">r permit </w:t>
      </w:r>
      <w:r w:rsidR="00DA0DD8">
        <w:rPr>
          <w:rFonts w:ascii="Times New Roman" w:hAnsi="Times New Roman" w:cs="Times New Roman"/>
        </w:rPr>
        <w:t>our clients</w:t>
      </w:r>
      <w:r w:rsidRPr="009F6030">
        <w:rPr>
          <w:rFonts w:ascii="Times New Roman" w:hAnsi="Times New Roman" w:cs="Times New Roman"/>
        </w:rPr>
        <w:t xml:space="preserve"> to retain</w:t>
      </w:r>
      <w:r w:rsidR="00DA0DD8">
        <w:rPr>
          <w:rFonts w:ascii="Times New Roman" w:hAnsi="Times New Roman" w:cs="Times New Roman"/>
        </w:rPr>
        <w:t>—</w:t>
      </w:r>
      <w:r w:rsidRPr="009F6030">
        <w:rPr>
          <w:rFonts w:ascii="Times New Roman" w:hAnsi="Times New Roman" w:cs="Times New Roman"/>
        </w:rPr>
        <w:t xml:space="preserve">licenses or clearance. </w:t>
      </w:r>
      <w:r w:rsidR="00783565">
        <w:rPr>
          <w:rFonts w:ascii="Times New Roman" w:hAnsi="Times New Roman" w:cs="Times New Roman"/>
        </w:rPr>
        <w:t xml:space="preserve">Where a licensing agency’s final administrative determination violates New York’s antidiscrimination protections, we are prepared to file suit. </w:t>
      </w:r>
      <w:r w:rsidRPr="009F6030">
        <w:rPr>
          <w:rFonts w:ascii="Times New Roman" w:hAnsi="Times New Roman" w:cs="Times New Roman"/>
        </w:rPr>
        <w:t>We also correct errors on our clients’ criminal records by contacting the agencies that manage criminal records in New York State.</w:t>
      </w:r>
      <w:r w:rsidR="00606DCE" w:rsidRPr="009F6030">
        <w:rPr>
          <w:rStyle w:val="FootnoteReference"/>
          <w:rFonts w:ascii="Times New Roman" w:hAnsi="Times New Roman" w:cs="Times New Roman"/>
        </w:rPr>
        <w:footnoteReference w:id="25"/>
      </w:r>
      <w:r w:rsidRPr="009F6030">
        <w:rPr>
          <w:rFonts w:ascii="Times New Roman" w:hAnsi="Times New Roman" w:cs="Times New Roman"/>
        </w:rPr>
        <w:t xml:space="preserve"> </w:t>
      </w:r>
    </w:p>
    <w:p w14:paraId="38391F78" w14:textId="77777777"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In 2019, the Worker Justice Proj</w:t>
      </w:r>
      <w:r w:rsidR="00BD7888" w:rsidRPr="009F6030">
        <w:rPr>
          <w:rFonts w:ascii="Times New Roman" w:hAnsi="Times New Roman" w:cs="Times New Roman"/>
        </w:rPr>
        <w:t xml:space="preserve">ect’s representation </w:t>
      </w:r>
      <w:r w:rsidRPr="009F6030">
        <w:rPr>
          <w:rFonts w:ascii="Times New Roman" w:hAnsi="Times New Roman" w:cs="Times New Roman"/>
        </w:rPr>
        <w:t xml:space="preserve">resulted in </w:t>
      </w:r>
      <w:r w:rsidR="00BD7888" w:rsidRPr="009F6030">
        <w:rPr>
          <w:rFonts w:ascii="Times New Roman" w:hAnsi="Times New Roman" w:cs="Times New Roman"/>
        </w:rPr>
        <w:t xml:space="preserve">six </w:t>
      </w:r>
      <w:r w:rsidRPr="009F6030">
        <w:rPr>
          <w:rFonts w:ascii="Times New Roman" w:hAnsi="Times New Roman" w:cs="Times New Roman"/>
        </w:rPr>
        <w:t xml:space="preserve">financial settlements, 20 corrected criminal records, and 81 </w:t>
      </w:r>
      <w:r w:rsidR="00DA0DD8">
        <w:rPr>
          <w:rFonts w:ascii="Times New Roman" w:hAnsi="Times New Roman" w:cs="Times New Roman"/>
        </w:rPr>
        <w:t xml:space="preserve">secured </w:t>
      </w:r>
      <w:r w:rsidRPr="009F6030">
        <w:rPr>
          <w:rFonts w:ascii="Times New Roman" w:hAnsi="Times New Roman" w:cs="Times New Roman"/>
        </w:rPr>
        <w:t>jobs and licenses.</w:t>
      </w:r>
    </w:p>
    <w:p w14:paraId="027916F0" w14:textId="77777777" w:rsidR="007D4D71" w:rsidRPr="009F6030" w:rsidRDefault="007D4D71" w:rsidP="009F6030">
      <w:pPr>
        <w:pStyle w:val="Body"/>
        <w:ind w:firstLine="720"/>
        <w:jc w:val="both"/>
        <w:rPr>
          <w:rFonts w:ascii="Times New Roman" w:hAnsi="Times New Roman" w:cs="Times New Roman"/>
        </w:rPr>
      </w:pPr>
    </w:p>
    <w:p w14:paraId="7A71AE94" w14:textId="77777777" w:rsidR="007D4D71" w:rsidRPr="009F6030" w:rsidRDefault="004452CA" w:rsidP="009F6030">
      <w:pPr>
        <w:pStyle w:val="Body"/>
        <w:jc w:val="center"/>
        <w:rPr>
          <w:rFonts w:ascii="Times New Roman" w:hAnsi="Times New Roman" w:cs="Times New Roman"/>
          <w:b/>
          <w:bCs/>
        </w:rPr>
      </w:pPr>
      <w:r w:rsidRPr="009F6030">
        <w:rPr>
          <w:rFonts w:ascii="Times New Roman" w:hAnsi="Times New Roman" w:cs="Times New Roman"/>
          <w:b/>
          <w:bCs/>
        </w:rPr>
        <w:t>Strategy 4: Challenge government policies that create barriers to employment and advocate for legislative solutions to effect systemic change.</w:t>
      </w:r>
    </w:p>
    <w:p w14:paraId="76436936" w14:textId="77777777" w:rsidR="007D4D71" w:rsidRPr="009F6030" w:rsidRDefault="007D4D71" w:rsidP="009F6030">
      <w:pPr>
        <w:pStyle w:val="Body"/>
        <w:ind w:firstLine="720"/>
        <w:jc w:val="both"/>
        <w:rPr>
          <w:rFonts w:ascii="Times New Roman" w:hAnsi="Times New Roman" w:cs="Times New Roman"/>
        </w:rPr>
      </w:pPr>
    </w:p>
    <w:p w14:paraId="132840B8" w14:textId="77777777"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The Worker Justice Project’s high volume of cases allows us to understand and analyze the systemic problems that result in loss of employment for our clients. We make sure to carve out the time to address these problems by engaging in legislative work and advocating for government agencies to improve their policies and practices. </w:t>
      </w:r>
    </w:p>
    <w:p w14:paraId="0A478F51" w14:textId="433B0533"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For example, a persistent problem that arose while advising Criminal Defense Practice attorneys and advocating for clients concerned a criminal case disposition known as an “adjournment in contemplation of dismissal,” or ACD. An ACD is a court order that schedules the dismissal of a criminal case, typically for a date six months to one year after the ACD order is issued. An ACD is generally the </w:t>
      </w:r>
      <w:r w:rsidRPr="009F6030">
        <w:rPr>
          <w:rFonts w:ascii="Times New Roman" w:hAnsi="Times New Roman" w:cs="Times New Roman"/>
        </w:rPr>
        <w:lastRenderedPageBreak/>
        <w:t>fastest means of dismissal in New York’s backlogged court system,</w:t>
      </w:r>
      <w:r w:rsidR="00802F42">
        <w:rPr>
          <w:rStyle w:val="FootnoteReference"/>
          <w:rFonts w:ascii="Times New Roman" w:hAnsi="Times New Roman" w:cs="Times New Roman"/>
        </w:rPr>
        <w:footnoteReference w:id="26"/>
      </w:r>
      <w:r w:rsidRPr="009F6030">
        <w:rPr>
          <w:rFonts w:ascii="Times New Roman" w:hAnsi="Times New Roman" w:cs="Times New Roman"/>
        </w:rPr>
        <w:t xml:space="preserve"> and is </w:t>
      </w:r>
      <w:r w:rsidR="006D15F9">
        <w:rPr>
          <w:rFonts w:ascii="Times New Roman" w:hAnsi="Times New Roman" w:cs="Times New Roman"/>
        </w:rPr>
        <w:t xml:space="preserve">“by far </w:t>
      </w:r>
      <w:r w:rsidRPr="009F6030">
        <w:rPr>
          <w:rFonts w:ascii="Times New Roman" w:hAnsi="Times New Roman" w:cs="Times New Roman"/>
        </w:rPr>
        <w:t xml:space="preserve">the most common mechanism for dismissal </w:t>
      </w:r>
      <w:r w:rsidR="006D15F9">
        <w:rPr>
          <w:rFonts w:ascii="Times New Roman" w:hAnsi="Times New Roman" w:cs="Times New Roman"/>
        </w:rPr>
        <w:t>[</w:t>
      </w:r>
      <w:r w:rsidRPr="009F6030">
        <w:rPr>
          <w:rFonts w:ascii="Times New Roman" w:hAnsi="Times New Roman" w:cs="Times New Roman"/>
        </w:rPr>
        <w:t xml:space="preserve">of </w:t>
      </w:r>
      <w:r w:rsidR="00561541">
        <w:rPr>
          <w:rFonts w:ascii="Times New Roman" w:hAnsi="Times New Roman" w:cs="Times New Roman"/>
        </w:rPr>
        <w:t>misdemeanor arrests</w:t>
      </w:r>
      <w:r w:rsidR="006D15F9">
        <w:rPr>
          <w:rFonts w:ascii="Times New Roman" w:hAnsi="Times New Roman" w:cs="Times New Roman"/>
        </w:rPr>
        <w:t>]</w:t>
      </w:r>
      <w:r w:rsidRPr="009F6030">
        <w:rPr>
          <w:rFonts w:ascii="Times New Roman" w:hAnsi="Times New Roman" w:cs="Times New Roman"/>
        </w:rPr>
        <w:t xml:space="preserve"> in New York</w:t>
      </w:r>
      <w:r w:rsidR="006D15F9">
        <w:rPr>
          <w:rFonts w:ascii="Times New Roman" w:hAnsi="Times New Roman" w:cs="Times New Roman"/>
        </w:rPr>
        <w:t xml:space="preserve"> City</w:t>
      </w:r>
      <w:r w:rsidRPr="009F6030">
        <w:rPr>
          <w:rFonts w:ascii="Times New Roman" w:hAnsi="Times New Roman" w:cs="Times New Roman"/>
        </w:rPr>
        <w:t>.</w:t>
      </w:r>
      <w:r w:rsidR="00802F42">
        <w:rPr>
          <w:rFonts w:ascii="Times New Roman" w:hAnsi="Times New Roman" w:cs="Times New Roman"/>
        </w:rPr>
        <w:t>”</w:t>
      </w:r>
      <w:r w:rsidRPr="009F6030">
        <w:rPr>
          <w:rFonts w:ascii="Times New Roman" w:eastAsia="Helvetica Neue" w:hAnsi="Times New Roman" w:cs="Times New Roman"/>
          <w:vertAlign w:val="superscript"/>
        </w:rPr>
        <w:footnoteReference w:id="27"/>
      </w:r>
      <w:r w:rsidRPr="009F6030">
        <w:rPr>
          <w:rFonts w:ascii="Times New Roman" w:hAnsi="Times New Roman" w:cs="Times New Roman"/>
        </w:rPr>
        <w:t xml:space="preserve"> ACDs are not convictions and do not involve an admission of guilt. However, due to a gap in the State Human Rights Law, workers whose cases were scheduled for dismissal were unprotected from employment discrimination during the six</w:t>
      </w:r>
      <w:r w:rsidR="000527E4">
        <w:rPr>
          <w:rFonts w:ascii="Times New Roman" w:hAnsi="Times New Roman" w:cs="Times New Roman"/>
        </w:rPr>
        <w:t>-</w:t>
      </w:r>
      <w:r w:rsidRPr="009F6030">
        <w:rPr>
          <w:rFonts w:ascii="Times New Roman" w:hAnsi="Times New Roman" w:cs="Times New Roman"/>
        </w:rPr>
        <w:t>month or one</w:t>
      </w:r>
      <w:r w:rsidR="000527E4">
        <w:rPr>
          <w:rFonts w:ascii="Times New Roman" w:hAnsi="Times New Roman" w:cs="Times New Roman"/>
        </w:rPr>
        <w:t>-</w:t>
      </w:r>
      <w:r w:rsidRPr="009F6030">
        <w:rPr>
          <w:rFonts w:ascii="Times New Roman" w:hAnsi="Times New Roman" w:cs="Times New Roman"/>
        </w:rPr>
        <w:t>year period between the ACD order and final</w:t>
      </w:r>
      <w:r w:rsidR="000527E4">
        <w:rPr>
          <w:rFonts w:ascii="Times New Roman" w:hAnsi="Times New Roman" w:cs="Times New Roman"/>
        </w:rPr>
        <w:t xml:space="preserve"> case</w:t>
      </w:r>
      <w:r w:rsidRPr="009F6030">
        <w:rPr>
          <w:rFonts w:ascii="Times New Roman" w:hAnsi="Times New Roman" w:cs="Times New Roman"/>
        </w:rPr>
        <w:t xml:space="preserve"> dismissal. Because of this gap, clients </w:t>
      </w:r>
      <w:r w:rsidR="001031AA" w:rsidRPr="009F6030">
        <w:rPr>
          <w:rFonts w:ascii="Times New Roman" w:hAnsi="Times New Roman" w:cs="Times New Roman"/>
        </w:rPr>
        <w:t>were often</w:t>
      </w:r>
      <w:r w:rsidRPr="009F6030">
        <w:rPr>
          <w:rFonts w:ascii="Times New Roman" w:hAnsi="Times New Roman" w:cs="Times New Roman"/>
        </w:rPr>
        <w:t xml:space="preserve"> better off, from an employment discrimination perspective, if they pled guilty to an offense than if their case were scheduled for dismissal</w:t>
      </w:r>
      <w:r w:rsidR="000527E4">
        <w:rPr>
          <w:rFonts w:ascii="Times New Roman" w:hAnsi="Times New Roman" w:cs="Times New Roman"/>
        </w:rPr>
        <w:t xml:space="preserve"> (since</w:t>
      </w:r>
      <w:r w:rsidR="006F066F">
        <w:rPr>
          <w:rFonts w:ascii="Times New Roman" w:hAnsi="Times New Roman" w:cs="Times New Roman"/>
        </w:rPr>
        <w:t>, in many cases,</w:t>
      </w:r>
      <w:r w:rsidR="000527E4">
        <w:rPr>
          <w:rFonts w:ascii="Times New Roman" w:hAnsi="Times New Roman" w:cs="Times New Roman"/>
        </w:rPr>
        <w:t xml:space="preserve"> the Human Rights Law </w:t>
      </w:r>
      <w:r w:rsidR="00173A85">
        <w:rPr>
          <w:rFonts w:ascii="Times New Roman" w:hAnsi="Times New Roman" w:cs="Times New Roman"/>
        </w:rPr>
        <w:t xml:space="preserve">immediately </w:t>
      </w:r>
      <w:r w:rsidR="000527E4">
        <w:rPr>
          <w:rFonts w:ascii="Times New Roman" w:hAnsi="Times New Roman" w:cs="Times New Roman"/>
        </w:rPr>
        <w:t>protect</w:t>
      </w:r>
      <w:r w:rsidR="00173A85">
        <w:rPr>
          <w:rFonts w:ascii="Times New Roman" w:hAnsi="Times New Roman" w:cs="Times New Roman"/>
        </w:rPr>
        <w:t>s</w:t>
      </w:r>
      <w:r w:rsidR="000527E4">
        <w:rPr>
          <w:rFonts w:ascii="Times New Roman" w:hAnsi="Times New Roman" w:cs="Times New Roman"/>
        </w:rPr>
        <w:t xml:space="preserve"> those who </w:t>
      </w:r>
      <w:r w:rsidR="006F066F">
        <w:rPr>
          <w:rFonts w:ascii="Times New Roman" w:hAnsi="Times New Roman" w:cs="Times New Roman"/>
        </w:rPr>
        <w:t>are convicted of an offense</w:t>
      </w:r>
      <w:r w:rsidR="000527E4">
        <w:rPr>
          <w:rFonts w:ascii="Times New Roman" w:hAnsi="Times New Roman" w:cs="Times New Roman"/>
        </w:rPr>
        <w:t>)</w:t>
      </w:r>
      <w:r w:rsidRPr="009F6030">
        <w:rPr>
          <w:rFonts w:ascii="Times New Roman" w:hAnsi="Times New Roman" w:cs="Times New Roman"/>
        </w:rPr>
        <w:t xml:space="preserve">. </w:t>
      </w:r>
    </w:p>
    <w:p w14:paraId="7651B9F0" w14:textId="77777777"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To close the gap, the Worker Justice Project helped draft and advocated extensively for a bill that expanded the State Human Rights Law to prohibit employment discrimination against people whose cases have been adjourned in contemplation of dismissal. We lobbied in coordination with the excellent organizations that belong to the Coalition of Reentry Advocates.</w:t>
      </w:r>
      <w:r w:rsidRPr="009F6030">
        <w:rPr>
          <w:rFonts w:ascii="Times New Roman" w:eastAsia="Helvetica Neue" w:hAnsi="Times New Roman" w:cs="Times New Roman"/>
          <w:vertAlign w:val="superscript"/>
        </w:rPr>
        <w:footnoteReference w:id="28"/>
      </w:r>
      <w:r w:rsidRPr="009F6030">
        <w:rPr>
          <w:rFonts w:ascii="Times New Roman" w:hAnsi="Times New Roman" w:cs="Times New Roman"/>
        </w:rPr>
        <w:t xml:space="preserve"> The bill was introduced by Sen. Jose M. Serrano and Assemblyman David I. Weprin</w:t>
      </w:r>
      <w:r w:rsidR="007D2326" w:rsidRPr="009F6030">
        <w:rPr>
          <w:rStyle w:val="FootnoteReference"/>
          <w:rFonts w:ascii="Times New Roman" w:hAnsi="Times New Roman" w:cs="Times New Roman"/>
        </w:rPr>
        <w:footnoteReference w:id="29"/>
      </w:r>
      <w:r w:rsidRPr="009F6030">
        <w:rPr>
          <w:rFonts w:ascii="Times New Roman" w:hAnsi="Times New Roman" w:cs="Times New Roman"/>
        </w:rPr>
        <w:t xml:space="preserve"> and was ultimately enacted in April 2019 as part of the reentry package in Governor Andrew Cuomo’s FY2020 budget.</w:t>
      </w:r>
      <w:r w:rsidR="007D2326" w:rsidRPr="009F6030">
        <w:rPr>
          <w:rStyle w:val="FootnoteReference"/>
          <w:rFonts w:ascii="Times New Roman" w:hAnsi="Times New Roman" w:cs="Times New Roman"/>
        </w:rPr>
        <w:footnoteReference w:id="30"/>
      </w:r>
      <w:r w:rsidRPr="009F6030">
        <w:rPr>
          <w:rFonts w:ascii="Times New Roman" w:hAnsi="Times New Roman" w:cs="Times New Roman"/>
        </w:rPr>
        <w:t xml:space="preserve"> It went into effect in July of 2019. We estimate that it will provide protections to approximately 80,000 New Yorkers each year.</w:t>
      </w:r>
      <w:r w:rsidRPr="009F6030">
        <w:rPr>
          <w:rFonts w:ascii="Times New Roman" w:eastAsia="Helvetica Neue" w:hAnsi="Times New Roman" w:cs="Times New Roman"/>
          <w:vertAlign w:val="superscript"/>
        </w:rPr>
        <w:footnoteReference w:id="31"/>
      </w:r>
      <w:r w:rsidRPr="009F6030">
        <w:rPr>
          <w:rFonts w:ascii="Times New Roman" w:hAnsi="Times New Roman" w:cs="Times New Roman"/>
        </w:rPr>
        <w:t xml:space="preserve"> </w:t>
      </w:r>
    </w:p>
    <w:p w14:paraId="38573023" w14:textId="1E3F2947"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Our work, however, was not done after the law went into effect. Enforcement is key to ensuring the law’s impact. Since July, employers have fired, refused to hire, or refused to lift the suspension of several of our clients after their criminal case was resolved with an ACD, in violation of the expanded Human Rights Law. The Worker Justice Project immediately contacted the employers, explained that their conduct was unlawful under the new law, and advised that </w:t>
      </w:r>
      <w:r w:rsidR="000527E4">
        <w:rPr>
          <w:rFonts w:ascii="Times New Roman" w:hAnsi="Times New Roman" w:cs="Times New Roman"/>
        </w:rPr>
        <w:t xml:space="preserve">we were </w:t>
      </w:r>
      <w:r w:rsidRPr="009F6030">
        <w:rPr>
          <w:rFonts w:ascii="Times New Roman" w:hAnsi="Times New Roman" w:cs="Times New Roman"/>
        </w:rPr>
        <w:t>prepared to sue them unless they reversed their adverse action</w:t>
      </w:r>
      <w:r w:rsidR="00923236">
        <w:rPr>
          <w:rFonts w:ascii="Times New Roman" w:hAnsi="Times New Roman" w:cs="Times New Roman"/>
        </w:rPr>
        <w:t>s</w:t>
      </w:r>
      <w:r w:rsidRPr="009F6030">
        <w:rPr>
          <w:rFonts w:ascii="Times New Roman" w:hAnsi="Times New Roman" w:cs="Times New Roman"/>
        </w:rPr>
        <w:t>. In every case, the employer</w:t>
      </w:r>
      <w:r w:rsidR="00923236">
        <w:rPr>
          <w:rFonts w:ascii="Times New Roman" w:hAnsi="Times New Roman" w:cs="Times New Roman"/>
        </w:rPr>
        <w:t>s</w:t>
      </w:r>
      <w:r w:rsidRPr="009F6030">
        <w:rPr>
          <w:rFonts w:ascii="Times New Roman" w:hAnsi="Times New Roman" w:cs="Times New Roman"/>
        </w:rPr>
        <w:t xml:space="preserve"> agreed to reverse their adverse action</w:t>
      </w:r>
      <w:r w:rsidR="00923236">
        <w:rPr>
          <w:rFonts w:ascii="Times New Roman" w:hAnsi="Times New Roman" w:cs="Times New Roman"/>
        </w:rPr>
        <w:t>s</w:t>
      </w:r>
      <w:r w:rsidRPr="009F6030">
        <w:rPr>
          <w:rFonts w:ascii="Times New Roman" w:hAnsi="Times New Roman" w:cs="Times New Roman"/>
        </w:rPr>
        <w:t xml:space="preserve"> and our clients were able to work. </w:t>
      </w:r>
    </w:p>
    <w:p w14:paraId="03DE839D" w14:textId="67478795" w:rsidR="007D4D71" w:rsidRPr="009F6030" w:rsidRDefault="004452CA" w:rsidP="009F6030">
      <w:pPr>
        <w:pStyle w:val="Body"/>
        <w:ind w:firstLine="720"/>
        <w:jc w:val="both"/>
        <w:rPr>
          <w:rFonts w:ascii="Times New Roman" w:hAnsi="Times New Roman" w:cs="Times New Roman"/>
        </w:rPr>
      </w:pPr>
      <w:r w:rsidRPr="009F6030">
        <w:rPr>
          <w:rFonts w:ascii="Times New Roman" w:hAnsi="Times New Roman" w:cs="Times New Roman"/>
        </w:rPr>
        <w:t xml:space="preserve">Separate from our legislative advocacy, the Worker Justice Project challenges government policies and practices at a systemic level. We are often able to persuade government agencies to change problematic policies by building relationships with agency decisionmakers and explaining how their policies violate the law or harm New Yorkers. For example, after the expansion </w:t>
      </w:r>
      <w:r w:rsidR="00923236">
        <w:rPr>
          <w:rFonts w:ascii="Times New Roman" w:hAnsi="Times New Roman" w:cs="Times New Roman"/>
        </w:rPr>
        <w:t>of</w:t>
      </w:r>
      <w:r w:rsidR="00923236" w:rsidRPr="009F6030">
        <w:rPr>
          <w:rFonts w:ascii="Times New Roman" w:hAnsi="Times New Roman" w:cs="Times New Roman"/>
        </w:rPr>
        <w:t xml:space="preserve"> </w:t>
      </w:r>
      <w:r w:rsidRPr="009F6030">
        <w:rPr>
          <w:rFonts w:ascii="Times New Roman" w:hAnsi="Times New Roman" w:cs="Times New Roman"/>
        </w:rPr>
        <w:t xml:space="preserve">the Human Rights </w:t>
      </w:r>
      <w:r w:rsidRPr="009F6030">
        <w:rPr>
          <w:rFonts w:ascii="Times New Roman" w:hAnsi="Times New Roman" w:cs="Times New Roman"/>
        </w:rPr>
        <w:lastRenderedPageBreak/>
        <w:t>Law was enacted, we persuaded multiple government agencies to change their policies and practices in light of the amended law—</w:t>
      </w:r>
      <w:r w:rsidR="000527E4">
        <w:rPr>
          <w:rFonts w:ascii="Times New Roman" w:hAnsi="Times New Roman" w:cs="Times New Roman"/>
        </w:rPr>
        <w:t>a</w:t>
      </w:r>
      <w:r w:rsidRPr="009F6030">
        <w:rPr>
          <w:rFonts w:ascii="Times New Roman" w:hAnsi="Times New Roman" w:cs="Times New Roman"/>
        </w:rPr>
        <w:t xml:space="preserve">nd convinced one agency to go beyond the strict requirements of the law. We are lucky in New York that a number of the agency officials in charge of criminal background check policies are sympathetic to the concerns of New Yorkers with criminal records and are willing to change agency policies if advocates explain the need for such policy changes. However, if agency officials are unwilling to change their policies and practices, the Worker Justice Project is prepared to file </w:t>
      </w:r>
      <w:r w:rsidR="0085009D">
        <w:rPr>
          <w:rFonts w:ascii="Times New Roman" w:hAnsi="Times New Roman" w:cs="Times New Roman"/>
        </w:rPr>
        <w:t>suit</w:t>
      </w:r>
      <w:r w:rsidRPr="009F6030">
        <w:rPr>
          <w:rFonts w:ascii="Times New Roman" w:hAnsi="Times New Roman" w:cs="Times New Roman"/>
        </w:rPr>
        <w:t xml:space="preserve">. </w:t>
      </w:r>
    </w:p>
    <w:p w14:paraId="0A6BC9CC" w14:textId="77777777" w:rsidR="007D4D71" w:rsidRPr="009F6030" w:rsidRDefault="007D4D71" w:rsidP="009F6030">
      <w:pPr>
        <w:pStyle w:val="Body"/>
        <w:ind w:firstLine="720"/>
        <w:jc w:val="both"/>
        <w:rPr>
          <w:rFonts w:ascii="Times New Roman" w:hAnsi="Times New Roman" w:cs="Times New Roman"/>
        </w:rPr>
      </w:pPr>
    </w:p>
    <w:p w14:paraId="64294D95" w14:textId="77777777" w:rsidR="007D4D71" w:rsidRPr="009F6030" w:rsidRDefault="004452CA" w:rsidP="009F6030">
      <w:pPr>
        <w:pStyle w:val="Body"/>
        <w:jc w:val="center"/>
        <w:rPr>
          <w:rFonts w:ascii="Times New Roman" w:hAnsi="Times New Roman" w:cs="Times New Roman"/>
          <w:bCs/>
          <w:smallCaps/>
        </w:rPr>
      </w:pPr>
      <w:r w:rsidRPr="009F6030">
        <w:rPr>
          <w:rFonts w:ascii="Times New Roman" w:hAnsi="Times New Roman" w:cs="Times New Roman"/>
          <w:bCs/>
          <w:smallCaps/>
        </w:rPr>
        <w:t>Conclusion</w:t>
      </w:r>
    </w:p>
    <w:p w14:paraId="1F9228FE" w14:textId="77777777" w:rsidR="007D4D71" w:rsidRPr="009F6030" w:rsidRDefault="007D4D71" w:rsidP="009F6030">
      <w:pPr>
        <w:pStyle w:val="Body"/>
        <w:ind w:firstLine="720"/>
        <w:jc w:val="both"/>
        <w:rPr>
          <w:rFonts w:ascii="Times New Roman" w:hAnsi="Times New Roman" w:cs="Times New Roman"/>
          <w:b/>
          <w:bCs/>
        </w:rPr>
      </w:pPr>
    </w:p>
    <w:p w14:paraId="453B6646" w14:textId="3EF93EB6" w:rsidR="007D4D71" w:rsidRPr="009F6030" w:rsidRDefault="0034423A" w:rsidP="009F6030">
      <w:pPr>
        <w:pStyle w:val="Body"/>
        <w:ind w:firstLine="720"/>
        <w:jc w:val="both"/>
        <w:rPr>
          <w:rFonts w:ascii="Times New Roman" w:hAnsi="Times New Roman" w:cs="Times New Roman"/>
        </w:rPr>
      </w:pPr>
      <w:r>
        <w:rPr>
          <w:rFonts w:ascii="Times New Roman" w:hAnsi="Times New Roman" w:cs="Times New Roman"/>
        </w:rPr>
        <w:t>In the U</w:t>
      </w:r>
      <w:r w:rsidR="00F66809">
        <w:rPr>
          <w:rFonts w:ascii="Times New Roman" w:hAnsi="Times New Roman" w:cs="Times New Roman"/>
        </w:rPr>
        <w:t xml:space="preserve">nited </w:t>
      </w:r>
      <w:r>
        <w:rPr>
          <w:rFonts w:ascii="Times New Roman" w:hAnsi="Times New Roman" w:cs="Times New Roman"/>
        </w:rPr>
        <w:t>S</w:t>
      </w:r>
      <w:r w:rsidR="00F66809">
        <w:rPr>
          <w:rFonts w:ascii="Times New Roman" w:hAnsi="Times New Roman" w:cs="Times New Roman"/>
        </w:rPr>
        <w:t>tates</w:t>
      </w:r>
      <w:r>
        <w:rPr>
          <w:rFonts w:ascii="Times New Roman" w:hAnsi="Times New Roman" w:cs="Times New Roman"/>
        </w:rPr>
        <w:t>, n</w:t>
      </w:r>
      <w:r w:rsidR="004452CA" w:rsidRPr="009F6030">
        <w:rPr>
          <w:rFonts w:ascii="Times New Roman" w:hAnsi="Times New Roman" w:cs="Times New Roman"/>
        </w:rPr>
        <w:t>early one in three adults has a criminal record.</w:t>
      </w:r>
      <w:r w:rsidR="004452CA" w:rsidRPr="009F6030">
        <w:rPr>
          <w:rFonts w:ascii="Times New Roman" w:eastAsia="Helvetica Neue" w:hAnsi="Times New Roman" w:cs="Times New Roman"/>
          <w:vertAlign w:val="superscript"/>
        </w:rPr>
        <w:footnoteReference w:id="32"/>
      </w:r>
      <w:r w:rsidR="004452CA" w:rsidRPr="009F6030">
        <w:rPr>
          <w:rFonts w:ascii="Times New Roman" w:hAnsi="Times New Roman" w:cs="Times New Roman"/>
        </w:rPr>
        <w:t xml:space="preserve"> These </w:t>
      </w:r>
      <w:r>
        <w:rPr>
          <w:rFonts w:ascii="Times New Roman" w:hAnsi="Times New Roman" w:cs="Times New Roman"/>
        </w:rPr>
        <w:t xml:space="preserve">individuals </w:t>
      </w:r>
      <w:r w:rsidR="004452CA" w:rsidRPr="009F6030">
        <w:rPr>
          <w:rFonts w:ascii="Times New Roman" w:hAnsi="Times New Roman" w:cs="Times New Roman"/>
        </w:rPr>
        <w:t xml:space="preserve">face enormous barriers to employment. Legal services lawyers cannot, on their own, eliminate these barriers. </w:t>
      </w:r>
      <w:r w:rsidR="005C5C7F" w:rsidRPr="009F6030">
        <w:rPr>
          <w:rFonts w:ascii="Times New Roman" w:hAnsi="Times New Roman" w:cs="Times New Roman"/>
        </w:rPr>
        <w:t>A major culture shift is necessary</w:t>
      </w:r>
      <w:r w:rsidR="003163D1" w:rsidRPr="009F6030">
        <w:rPr>
          <w:rStyle w:val="FootnoteReference"/>
          <w:rFonts w:ascii="Times New Roman" w:hAnsi="Times New Roman" w:cs="Times New Roman"/>
        </w:rPr>
        <w:footnoteReference w:id="33"/>
      </w:r>
      <w:r w:rsidR="001031AA" w:rsidRPr="009F6030">
        <w:rPr>
          <w:rFonts w:ascii="Times New Roman" w:hAnsi="Times New Roman" w:cs="Times New Roman"/>
        </w:rPr>
        <w:t>—</w:t>
      </w:r>
      <w:r w:rsidR="005C5C7F" w:rsidRPr="009F6030">
        <w:rPr>
          <w:rFonts w:ascii="Times New Roman" w:hAnsi="Times New Roman" w:cs="Times New Roman"/>
        </w:rPr>
        <w:t>one that pushes employers and government agencies to appreciate the qualifications and value of people with records, and ends the exclusion of people with records from the workplace and public life.</w:t>
      </w:r>
      <w:r w:rsidR="003335DE" w:rsidRPr="009F6030">
        <w:rPr>
          <w:rStyle w:val="FootnoteReference"/>
          <w:rFonts w:ascii="Times New Roman" w:hAnsi="Times New Roman" w:cs="Times New Roman"/>
        </w:rPr>
        <w:footnoteReference w:id="34"/>
      </w:r>
    </w:p>
    <w:p w14:paraId="12CF68A5" w14:textId="7D48470F" w:rsidR="005C5C7F" w:rsidRPr="009F6030" w:rsidRDefault="005C5C7F" w:rsidP="009F6030">
      <w:pPr>
        <w:pStyle w:val="BodyText"/>
        <w:ind w:firstLine="720"/>
        <w:jc w:val="both"/>
        <w:rPr>
          <w:sz w:val="22"/>
          <w:szCs w:val="22"/>
        </w:rPr>
      </w:pPr>
      <w:r w:rsidRPr="009F6030">
        <w:rPr>
          <w:sz w:val="22"/>
          <w:szCs w:val="22"/>
        </w:rPr>
        <w:t>However, l</w:t>
      </w:r>
      <w:r w:rsidR="004452CA" w:rsidRPr="009F6030">
        <w:rPr>
          <w:sz w:val="22"/>
          <w:szCs w:val="22"/>
        </w:rPr>
        <w:t xml:space="preserve">egal services lawyers in public defender offices can play an important role in expanding employment opportunities for workers with records. Every person represented by a public defender organization deserves access to a criminal employment law expert from the date of </w:t>
      </w:r>
      <w:r w:rsidR="007B2DC3" w:rsidRPr="009F6030">
        <w:rPr>
          <w:sz w:val="22"/>
          <w:szCs w:val="22"/>
        </w:rPr>
        <w:t xml:space="preserve">their </w:t>
      </w:r>
      <w:r w:rsidR="004452CA" w:rsidRPr="009F6030">
        <w:rPr>
          <w:sz w:val="22"/>
          <w:szCs w:val="22"/>
        </w:rPr>
        <w:t>arrest until the date that the criminal case ceases to harm their employment opportunities. To be most effective, these experts should provide comprehensive criminal employment law services, including (1) advice to trial-level criminal defense attorneys about the employment consequences of arrest and disposition</w:t>
      </w:r>
      <w:r w:rsidR="0085009D">
        <w:rPr>
          <w:sz w:val="22"/>
          <w:szCs w:val="22"/>
        </w:rPr>
        <w:t>;</w:t>
      </w:r>
      <w:r w:rsidR="004452CA" w:rsidRPr="009F6030">
        <w:rPr>
          <w:sz w:val="22"/>
          <w:szCs w:val="22"/>
        </w:rPr>
        <w:t xml:space="preserve"> (2) empowerment of workers with records through advice and the creation of accomplishment packets</w:t>
      </w:r>
      <w:r w:rsidR="0085009D">
        <w:rPr>
          <w:sz w:val="22"/>
          <w:szCs w:val="22"/>
        </w:rPr>
        <w:t>;</w:t>
      </w:r>
      <w:r w:rsidR="004452CA" w:rsidRPr="009F6030">
        <w:rPr>
          <w:sz w:val="22"/>
          <w:szCs w:val="22"/>
        </w:rPr>
        <w:t xml:space="preserve"> (3) representation of workers in administrative proceedings, pre-litigation advocacy, and litigation related to criminal record discrimination</w:t>
      </w:r>
      <w:r w:rsidR="0085009D">
        <w:rPr>
          <w:sz w:val="22"/>
          <w:szCs w:val="22"/>
        </w:rPr>
        <w:t>;</w:t>
      </w:r>
      <w:r w:rsidR="004452CA" w:rsidRPr="009F6030">
        <w:rPr>
          <w:sz w:val="22"/>
          <w:szCs w:val="22"/>
        </w:rPr>
        <w:t xml:space="preserve"> and (4) legislative and policy-related advocacy to effect systemic change. This model addresses </w:t>
      </w:r>
      <w:r w:rsidR="003335DE" w:rsidRPr="009F6030">
        <w:rPr>
          <w:sz w:val="22"/>
          <w:szCs w:val="22"/>
        </w:rPr>
        <w:t>head-on</w:t>
      </w:r>
      <w:r w:rsidR="004452CA" w:rsidRPr="009F6030">
        <w:rPr>
          <w:sz w:val="22"/>
          <w:szCs w:val="22"/>
        </w:rPr>
        <w:t xml:space="preserve"> </w:t>
      </w:r>
      <w:r w:rsidR="005A0B4A" w:rsidRPr="009F6030">
        <w:rPr>
          <w:sz w:val="22"/>
          <w:szCs w:val="22"/>
        </w:rPr>
        <w:t xml:space="preserve">the destructive employment consequences of criminal prosecution, </w:t>
      </w:r>
      <w:r w:rsidR="004452CA" w:rsidRPr="009F6030">
        <w:rPr>
          <w:sz w:val="22"/>
          <w:szCs w:val="22"/>
        </w:rPr>
        <w:t>and</w:t>
      </w:r>
      <w:r w:rsidR="005A0B4A" w:rsidRPr="009F6030">
        <w:rPr>
          <w:sz w:val="22"/>
          <w:szCs w:val="22"/>
        </w:rPr>
        <w:t xml:space="preserve"> it</w:t>
      </w:r>
      <w:r w:rsidR="004452CA" w:rsidRPr="009F6030">
        <w:rPr>
          <w:sz w:val="22"/>
          <w:szCs w:val="22"/>
        </w:rPr>
        <w:t xml:space="preserve"> increases </w:t>
      </w:r>
      <w:r w:rsidR="005A0B4A" w:rsidRPr="009F6030">
        <w:rPr>
          <w:sz w:val="22"/>
          <w:szCs w:val="22"/>
        </w:rPr>
        <w:t>workers</w:t>
      </w:r>
      <w:r w:rsidR="004452CA" w:rsidRPr="009F6030">
        <w:rPr>
          <w:sz w:val="22"/>
          <w:szCs w:val="22"/>
        </w:rPr>
        <w:t>’ employment opportunities in concrete and measurable ways.</w:t>
      </w:r>
      <w:r w:rsidR="006B5033">
        <w:rPr>
          <w:sz w:val="22"/>
          <w:szCs w:val="22"/>
        </w:rPr>
        <w:t xml:space="preserve"> </w:t>
      </w:r>
    </w:p>
    <w:sectPr w:rsidR="005C5C7F" w:rsidRPr="009F6030" w:rsidSect="004A7937">
      <w:headerReference w:type="even" r:id="rId7"/>
      <w:headerReference w:type="default" r:id="rId8"/>
      <w:footerReference w:type="default" r:id="rId9"/>
      <w:footerReference w:type="first" r:id="rId10"/>
      <w:pgSz w:w="12240" w:h="15840"/>
      <w:pgMar w:top="2016" w:right="2448" w:bottom="2016" w:left="2448" w:header="720" w:footer="864" w:gutter="0"/>
      <w:pgNumType w:start="6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5EA0A" w14:textId="77777777" w:rsidR="00C15E09" w:rsidRDefault="00C15E09">
      <w:r>
        <w:separator/>
      </w:r>
    </w:p>
  </w:endnote>
  <w:endnote w:type="continuationSeparator" w:id="0">
    <w:p w14:paraId="1AC8F732" w14:textId="77777777" w:rsidR="00C15E09" w:rsidRDefault="00C1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390B" w14:textId="77777777" w:rsidR="008B711F" w:rsidRDefault="008B711F" w:rsidP="0055182C">
    <w:pPr>
      <w:pStyle w:val="Footer"/>
    </w:pPr>
  </w:p>
  <w:p w14:paraId="641436B5" w14:textId="77777777" w:rsidR="007D4D71" w:rsidRDefault="007D4D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31AA" w14:textId="75310796" w:rsidR="004A7937" w:rsidRPr="004A7937" w:rsidRDefault="004A7937" w:rsidP="004A7937">
    <w:pPr>
      <w:pStyle w:val="Footer"/>
      <w:tabs>
        <w:tab w:val="clear" w:pos="4680"/>
        <w:tab w:val="clear" w:pos="9360"/>
        <w:tab w:val="center" w:pos="3600"/>
        <w:tab w:val="right" w:pos="7344"/>
      </w:tabs>
      <w:rPr>
        <w:sz w:val="22"/>
        <w:szCs w:val="22"/>
      </w:rPr>
    </w:pPr>
    <w:r>
      <w:tab/>
    </w:r>
    <w:r w:rsidRPr="004A7937">
      <w:rPr>
        <w:sz w:val="22"/>
        <w:szCs w:val="22"/>
      </w:rPr>
      <w:t>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2D75" w14:textId="77777777" w:rsidR="00C15E09" w:rsidRDefault="00C15E09">
      <w:r>
        <w:separator/>
      </w:r>
    </w:p>
  </w:footnote>
  <w:footnote w:type="continuationSeparator" w:id="0">
    <w:p w14:paraId="57E94CE4" w14:textId="77777777" w:rsidR="00C15E09" w:rsidRDefault="00C15E09">
      <w:r>
        <w:continuationSeparator/>
      </w:r>
    </w:p>
  </w:footnote>
  <w:footnote w:type="continuationNotice" w:id="1">
    <w:p w14:paraId="6C639A11" w14:textId="77777777" w:rsidR="00C15E09" w:rsidRDefault="00C15E09"/>
  </w:footnote>
  <w:footnote w:id="2">
    <w:p w14:paraId="7AAF48FF" w14:textId="1BA68F34" w:rsidR="00FB4780" w:rsidRPr="00D1374E" w:rsidRDefault="00FB4780" w:rsidP="00D1374E">
      <w:pPr>
        <w:pStyle w:val="FootnoteText"/>
        <w:ind w:firstLine="180"/>
        <w:jc w:val="both"/>
        <w:rPr>
          <w:sz w:val="18"/>
          <w:szCs w:val="18"/>
        </w:rPr>
      </w:pPr>
      <w:r w:rsidRPr="00D1374E">
        <w:rPr>
          <w:rStyle w:val="FootnoteReference"/>
          <w:sz w:val="18"/>
          <w:szCs w:val="18"/>
        </w:rPr>
        <w:sym w:font="Symbol" w:char="F0A5"/>
      </w:r>
      <w:r w:rsidRPr="00D1374E">
        <w:rPr>
          <w:sz w:val="18"/>
          <w:szCs w:val="18"/>
        </w:rPr>
        <w:t xml:space="preserve"> </w:t>
      </w:r>
      <w:r w:rsidR="0085009D" w:rsidRPr="0085009D">
        <w:rPr>
          <w:sz w:val="18"/>
          <w:szCs w:val="18"/>
        </w:rPr>
        <w:t>Melissa S. Ader</w:t>
      </w:r>
      <w:r w:rsidR="0085009D">
        <w:rPr>
          <w:sz w:val="18"/>
          <w:szCs w:val="18"/>
        </w:rPr>
        <w:t xml:space="preserve">, </w:t>
      </w:r>
      <w:r w:rsidRPr="00D1374E">
        <w:rPr>
          <w:sz w:val="18"/>
          <w:szCs w:val="18"/>
        </w:rPr>
        <w:t xml:space="preserve">Staff Attorney, Worker Justice Project, Criminal Defense Practice, The Legal Aid Society. </w:t>
      </w:r>
      <w:r w:rsidR="000E3372" w:rsidRPr="00D1374E">
        <w:rPr>
          <w:sz w:val="18"/>
          <w:szCs w:val="18"/>
        </w:rPr>
        <w:t xml:space="preserve">Email: </w:t>
      </w:r>
      <w:r w:rsidR="000E3372" w:rsidRPr="004A7937">
        <w:rPr>
          <w:rStyle w:val="Hyperlink"/>
          <w:sz w:val="18"/>
          <w:szCs w:val="18"/>
          <w:u w:val="none"/>
        </w:rPr>
        <w:t>mader@legal-aid.org</w:t>
      </w:r>
      <w:r w:rsidR="000E3372" w:rsidRPr="004A7937">
        <w:rPr>
          <w:sz w:val="18"/>
          <w:szCs w:val="18"/>
        </w:rPr>
        <w:t>.</w:t>
      </w:r>
      <w:r w:rsidR="000E3372" w:rsidRPr="00D1374E">
        <w:rPr>
          <w:sz w:val="18"/>
          <w:szCs w:val="18"/>
        </w:rPr>
        <w:t xml:space="preserve"> </w:t>
      </w:r>
      <w:r w:rsidRPr="00D1374E">
        <w:rPr>
          <w:sz w:val="18"/>
          <w:szCs w:val="18"/>
        </w:rPr>
        <w:t>Thank you to Tina Luongo for her immense support of the Worker Justice Project, without which the Project would not exist; to Joshua Carrin for building the Worker Justice Project with me in 2019; and to Megumi Saito, Caroline Lowry, and Tiffany Pesante, for building the Project even further these past few months—I am so excited for the work we will do together in the future. Thank you also to Equal Justice Works and the sponsors of my 2015</w:t>
      </w:r>
      <w:r w:rsidR="0085009D">
        <w:rPr>
          <w:sz w:val="18"/>
          <w:szCs w:val="18"/>
        </w:rPr>
        <w:t>–</w:t>
      </w:r>
      <w:r w:rsidRPr="00D1374E">
        <w:rPr>
          <w:sz w:val="18"/>
          <w:szCs w:val="18"/>
        </w:rPr>
        <w:t>2017 Equal Justice Works fellowship, Sullivan &amp; Cromwell LLP and AIG; the fellowship, which focused on criminal employment law, was instrumental in enabling the creation of the Worker Justice Project at The Legal Aid Society. Finally, thank you to the members of the Employment Law Unit in the Civil Practice of The Legal Aid Society, for their support and guidance.</w:t>
      </w:r>
    </w:p>
  </w:footnote>
  <w:footnote w:id="3">
    <w:p w14:paraId="31905360" w14:textId="3096DC3B"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i/>
          <w:sz w:val="18"/>
          <w:szCs w:val="18"/>
        </w:rPr>
        <w:t>See</w:t>
      </w:r>
      <w:r w:rsidR="00EB0029" w:rsidRPr="00D1374E">
        <w:rPr>
          <w:rFonts w:ascii="Times New Roman" w:eastAsia="Arial Unicode MS" w:hAnsi="Times New Roman" w:cs="Times New Roman"/>
          <w:i/>
          <w:sz w:val="18"/>
          <w:szCs w:val="18"/>
        </w:rPr>
        <w:t xml:space="preserve"> generally</w:t>
      </w:r>
      <w:r w:rsidRPr="00D1374E">
        <w:rPr>
          <w:rFonts w:ascii="Times New Roman" w:eastAsia="Arial Unicode MS" w:hAnsi="Times New Roman" w:cs="Times New Roman"/>
          <w:sz w:val="18"/>
          <w:szCs w:val="18"/>
        </w:rPr>
        <w:t xml:space="preserve"> Benjamin Levin, </w:t>
      </w:r>
      <w:r w:rsidRPr="00D1374E">
        <w:rPr>
          <w:rFonts w:ascii="Times New Roman" w:eastAsia="Arial Unicode MS" w:hAnsi="Times New Roman" w:cs="Times New Roman"/>
          <w:i/>
          <w:sz w:val="18"/>
          <w:szCs w:val="18"/>
        </w:rPr>
        <w:t>Criminal Employment Law</w:t>
      </w:r>
      <w:r w:rsidRPr="00D1374E">
        <w:rPr>
          <w:rFonts w:ascii="Times New Roman" w:eastAsia="Arial Unicode MS" w:hAnsi="Times New Roman" w:cs="Times New Roman"/>
          <w:sz w:val="18"/>
          <w:szCs w:val="18"/>
        </w:rPr>
        <w:t xml:space="preserve">, 39 </w:t>
      </w:r>
      <w:r w:rsidRPr="00D1374E">
        <w:rPr>
          <w:rFonts w:ascii="Times New Roman" w:eastAsia="Arial Unicode MS" w:hAnsi="Times New Roman" w:cs="Times New Roman"/>
          <w:smallCaps/>
          <w:sz w:val="18"/>
          <w:szCs w:val="18"/>
        </w:rPr>
        <w:t>Cardozo L. Rev.</w:t>
      </w:r>
      <w:r w:rsidRPr="00D1374E">
        <w:rPr>
          <w:rFonts w:ascii="Times New Roman" w:eastAsia="Arial Unicode MS" w:hAnsi="Times New Roman" w:cs="Times New Roman"/>
          <w:sz w:val="18"/>
          <w:szCs w:val="18"/>
        </w:rPr>
        <w:t xml:space="preserve"> 2265 (2018)</w:t>
      </w:r>
      <w:r w:rsidR="00270C2C" w:rsidRPr="00D1374E">
        <w:rPr>
          <w:rFonts w:ascii="Times New Roman" w:eastAsia="Arial Unicode MS" w:hAnsi="Times New Roman" w:cs="Times New Roman"/>
          <w:sz w:val="18"/>
          <w:szCs w:val="18"/>
        </w:rPr>
        <w:t xml:space="preserve"> (describing criminal employment law as existing “at the nexus of employment law and the criminal syste</w:t>
      </w:r>
      <w:r w:rsidR="004C6FF9" w:rsidRPr="00D1374E">
        <w:rPr>
          <w:rFonts w:ascii="Times New Roman" w:eastAsia="Arial Unicode MS" w:hAnsi="Times New Roman" w:cs="Times New Roman"/>
          <w:sz w:val="18"/>
          <w:szCs w:val="18"/>
        </w:rPr>
        <w:t>m” wherein laws encourage employers not to hire or retain people with criminal records)</w:t>
      </w:r>
      <w:r w:rsidRPr="00D1374E">
        <w:rPr>
          <w:rFonts w:ascii="Times New Roman" w:eastAsia="Arial Unicode MS" w:hAnsi="Times New Roman" w:cs="Times New Roman"/>
          <w:sz w:val="18"/>
          <w:szCs w:val="18"/>
        </w:rPr>
        <w:t>.</w:t>
      </w:r>
    </w:p>
  </w:footnote>
  <w:footnote w:id="4">
    <w:p w14:paraId="08DB63B8" w14:textId="69C97E70" w:rsidR="007D4D71" w:rsidRPr="00D1374E" w:rsidRDefault="004452CA" w:rsidP="00D1374E">
      <w:pPr>
        <w:pStyle w:val="Footnote"/>
        <w:ind w:firstLine="180"/>
        <w:jc w:val="both"/>
        <w:rPr>
          <w:rFonts w:ascii="Times New Roman" w:eastAsia="Arial Unicode MS"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i/>
          <w:sz w:val="18"/>
          <w:szCs w:val="18"/>
        </w:rPr>
        <w:t>See</w:t>
      </w:r>
      <w:r w:rsidRPr="00D1374E">
        <w:rPr>
          <w:rFonts w:ascii="Times New Roman" w:eastAsia="Arial Unicode MS" w:hAnsi="Times New Roman" w:cs="Times New Roman"/>
          <w:sz w:val="18"/>
          <w:szCs w:val="18"/>
        </w:rPr>
        <w:t> </w:t>
      </w:r>
      <w:r w:rsidRPr="00D1374E">
        <w:rPr>
          <w:rFonts w:ascii="Times New Roman" w:eastAsia="Arial Unicode MS" w:hAnsi="Times New Roman" w:cs="Times New Roman"/>
          <w:smallCaps/>
          <w:sz w:val="18"/>
          <w:szCs w:val="18"/>
        </w:rPr>
        <w:t>Michelle Alexander, The New Jim Crow: Mass Incarceration in the Era of Colorblindness</w:t>
      </w:r>
      <w:r w:rsidRPr="00D1374E">
        <w:rPr>
          <w:rFonts w:ascii="Times New Roman" w:eastAsia="Arial Unicode MS" w:hAnsi="Times New Roman" w:cs="Times New Roman"/>
          <w:sz w:val="18"/>
          <w:szCs w:val="18"/>
        </w:rPr>
        <w:t xml:space="preserve"> 1</w:t>
      </w:r>
      <w:r w:rsidR="004C6FF9" w:rsidRPr="00D1374E">
        <w:rPr>
          <w:rFonts w:ascii="Times New Roman" w:eastAsia="Arial Unicode MS" w:hAnsi="Times New Roman" w:cs="Times New Roman"/>
          <w:sz w:val="18"/>
          <w:szCs w:val="18"/>
        </w:rPr>
        <w:t>51</w:t>
      </w:r>
      <w:r w:rsidR="0085009D">
        <w:rPr>
          <w:rFonts w:ascii="Times New Roman" w:eastAsia="Arial Unicode MS" w:hAnsi="Times New Roman" w:cs="Times New Roman"/>
          <w:sz w:val="18"/>
          <w:szCs w:val="18"/>
        </w:rPr>
        <w:t>–</w:t>
      </w:r>
      <w:r w:rsidR="00506493" w:rsidRPr="00D1374E">
        <w:rPr>
          <w:rFonts w:ascii="Times New Roman" w:eastAsia="Arial Unicode MS" w:hAnsi="Times New Roman" w:cs="Times New Roman"/>
          <w:sz w:val="18"/>
          <w:szCs w:val="18"/>
        </w:rPr>
        <w:t>54</w:t>
      </w:r>
      <w:r w:rsidRPr="00D1374E">
        <w:rPr>
          <w:rFonts w:ascii="Times New Roman" w:eastAsia="Arial Unicode MS" w:hAnsi="Times New Roman" w:cs="Times New Roman"/>
          <w:sz w:val="18"/>
          <w:szCs w:val="18"/>
        </w:rPr>
        <w:t xml:space="preserve"> (201</w:t>
      </w:r>
      <w:r w:rsidR="00255E77" w:rsidRPr="00D1374E">
        <w:rPr>
          <w:rFonts w:ascii="Times New Roman" w:eastAsia="Arial Unicode MS" w:hAnsi="Times New Roman" w:cs="Times New Roman"/>
          <w:sz w:val="18"/>
          <w:szCs w:val="18"/>
        </w:rPr>
        <w:t>2</w:t>
      </w:r>
      <w:r w:rsidRPr="00D1374E">
        <w:rPr>
          <w:rFonts w:ascii="Times New Roman" w:eastAsia="Arial Unicode MS" w:hAnsi="Times New Roman" w:cs="Times New Roman"/>
          <w:sz w:val="18"/>
          <w:szCs w:val="18"/>
        </w:rPr>
        <w:t>)</w:t>
      </w:r>
      <w:r w:rsidR="00506493" w:rsidRPr="00D1374E">
        <w:rPr>
          <w:rFonts w:ascii="Times New Roman" w:eastAsia="Arial Unicode MS" w:hAnsi="Times New Roman" w:cs="Times New Roman"/>
          <w:sz w:val="18"/>
          <w:szCs w:val="18"/>
        </w:rPr>
        <w:t xml:space="preserve"> (explaining that Black people with criminal records “are the most severely disadvantaged applicants in the modern job market,” and that the explicitly race-based employment discrimination of the mid-twentieth century has been </w:t>
      </w:r>
      <w:r w:rsidR="00A143E1" w:rsidRPr="00D1374E">
        <w:rPr>
          <w:rFonts w:ascii="Times New Roman" w:eastAsia="Arial Unicode MS" w:hAnsi="Times New Roman" w:cs="Times New Roman"/>
          <w:sz w:val="18"/>
          <w:szCs w:val="18"/>
        </w:rPr>
        <w:t xml:space="preserve">replaced by no-less-insidious </w:t>
      </w:r>
      <w:r w:rsidR="00506493" w:rsidRPr="00D1374E">
        <w:rPr>
          <w:rFonts w:ascii="Times New Roman" w:eastAsia="Arial Unicode MS" w:hAnsi="Times New Roman" w:cs="Times New Roman"/>
          <w:sz w:val="18"/>
          <w:szCs w:val="18"/>
        </w:rPr>
        <w:t>employment discrimination that uses criminal records as a proxy for race)</w:t>
      </w:r>
      <w:r w:rsidRPr="00D1374E">
        <w:rPr>
          <w:rFonts w:ascii="Times New Roman" w:eastAsia="Arial Unicode MS" w:hAnsi="Times New Roman" w:cs="Times New Roman"/>
          <w:sz w:val="18"/>
          <w:szCs w:val="18"/>
        </w:rPr>
        <w:t xml:space="preserve">; </w:t>
      </w:r>
      <w:r w:rsidR="00D3467B" w:rsidRPr="00D1374E">
        <w:rPr>
          <w:rFonts w:ascii="Times New Roman" w:eastAsia="Arial Unicode MS" w:hAnsi="Times New Roman" w:cs="Times New Roman"/>
          <w:sz w:val="18"/>
          <w:szCs w:val="18"/>
        </w:rPr>
        <w:t>Bruce Western &amp; Catherine Sirois, </w:t>
      </w:r>
      <w:r w:rsidR="00D3467B" w:rsidRPr="00D1374E">
        <w:rPr>
          <w:rFonts w:ascii="Times New Roman" w:eastAsia="Arial Unicode MS" w:hAnsi="Times New Roman" w:cs="Times New Roman"/>
          <w:i/>
          <w:sz w:val="18"/>
          <w:szCs w:val="18"/>
        </w:rPr>
        <w:t>Racialized Re-entry: Labor Market Inequality After Incarceration</w:t>
      </w:r>
      <w:r w:rsidR="00D3467B" w:rsidRPr="00D1374E">
        <w:rPr>
          <w:rFonts w:ascii="Times New Roman" w:eastAsia="Arial Unicode MS" w:hAnsi="Times New Roman" w:cs="Times New Roman"/>
          <w:sz w:val="18"/>
          <w:szCs w:val="18"/>
        </w:rPr>
        <w:t xml:space="preserve">, 97 </w:t>
      </w:r>
      <w:r w:rsidR="00D3467B" w:rsidRPr="00D1374E">
        <w:rPr>
          <w:rFonts w:ascii="Times New Roman" w:eastAsia="Arial Unicode MS" w:hAnsi="Times New Roman" w:cs="Times New Roman"/>
          <w:smallCaps/>
          <w:sz w:val="18"/>
          <w:szCs w:val="18"/>
          <w:lang w:val="fr-FR"/>
        </w:rPr>
        <w:t>Soc. Forces 1517</w:t>
      </w:r>
      <w:r w:rsidR="00D3467B" w:rsidRPr="00D1374E">
        <w:rPr>
          <w:rFonts w:ascii="Times New Roman" w:eastAsia="Arial Unicode MS" w:hAnsi="Times New Roman" w:cs="Times New Roman"/>
          <w:sz w:val="18"/>
          <w:szCs w:val="18"/>
          <w:lang w:val="fr-FR"/>
        </w:rPr>
        <w:t xml:space="preserve"> (2019)</w:t>
      </w:r>
      <w:r w:rsidR="00D3467B" w:rsidRPr="00D1374E">
        <w:rPr>
          <w:rFonts w:ascii="Times New Roman" w:eastAsia="Arial Unicode MS" w:hAnsi="Times New Roman" w:cs="Times New Roman"/>
          <w:sz w:val="18"/>
          <w:szCs w:val="18"/>
        </w:rPr>
        <w:t xml:space="preserve"> (finding that, after incarceration, white people earn more and secure more stable jobs than Black and Hispanic people do, “even after accounting for health, human capital, social background, crime and criminal justice involvement, and job readiness”); </w:t>
      </w:r>
      <w:proofErr w:type="spellStart"/>
      <w:r w:rsidRPr="00D1374E">
        <w:rPr>
          <w:rFonts w:ascii="Times New Roman" w:eastAsia="Arial Unicode MS" w:hAnsi="Times New Roman" w:cs="Times New Roman"/>
          <w:sz w:val="18"/>
          <w:szCs w:val="18"/>
        </w:rPr>
        <w:t>Devah</w:t>
      </w:r>
      <w:proofErr w:type="spellEnd"/>
      <w:r w:rsidRPr="00D1374E">
        <w:rPr>
          <w:rFonts w:ascii="Times New Roman" w:eastAsia="Arial Unicode MS" w:hAnsi="Times New Roman" w:cs="Times New Roman"/>
          <w:sz w:val="18"/>
          <w:szCs w:val="18"/>
        </w:rPr>
        <w:t xml:space="preserve"> Pager, </w:t>
      </w:r>
      <w:r w:rsidRPr="00D1374E">
        <w:rPr>
          <w:rFonts w:ascii="Times New Roman" w:eastAsia="Arial Unicode MS" w:hAnsi="Times New Roman" w:cs="Times New Roman"/>
          <w:i/>
          <w:sz w:val="18"/>
          <w:szCs w:val="18"/>
        </w:rPr>
        <w:t>The Mark of a Criminal Record</w:t>
      </w:r>
      <w:r w:rsidRPr="00D1374E">
        <w:rPr>
          <w:rFonts w:ascii="Times New Roman" w:eastAsia="Arial Unicode MS" w:hAnsi="Times New Roman" w:cs="Times New Roman"/>
          <w:sz w:val="18"/>
          <w:szCs w:val="18"/>
        </w:rPr>
        <w:t>, 108 </w:t>
      </w:r>
      <w:r w:rsidRPr="00D1374E">
        <w:rPr>
          <w:rFonts w:ascii="Times New Roman" w:eastAsia="Arial Unicode MS" w:hAnsi="Times New Roman" w:cs="Times New Roman"/>
          <w:smallCaps/>
          <w:sz w:val="18"/>
          <w:szCs w:val="18"/>
        </w:rPr>
        <w:t>Am. J. Soc. </w:t>
      </w:r>
      <w:r w:rsidRPr="00D1374E">
        <w:rPr>
          <w:rFonts w:ascii="Times New Roman" w:eastAsia="Arial Unicode MS" w:hAnsi="Times New Roman" w:cs="Times New Roman"/>
          <w:sz w:val="18"/>
          <w:szCs w:val="18"/>
        </w:rPr>
        <w:t>937, 959 (2003</w:t>
      </w:r>
      <w:r w:rsidR="00212879" w:rsidRPr="00D1374E">
        <w:rPr>
          <w:rFonts w:ascii="Times New Roman" w:eastAsia="Arial Unicode MS" w:hAnsi="Times New Roman" w:cs="Times New Roman"/>
          <w:sz w:val="18"/>
          <w:szCs w:val="18"/>
        </w:rPr>
        <w:t>)</w:t>
      </w:r>
      <w:r w:rsidR="00EB0029"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(noting that the negative effect of a criminal record</w:t>
      </w:r>
      <w:r w:rsidR="00212879" w:rsidRPr="00D1374E">
        <w:rPr>
          <w:rFonts w:ascii="Times New Roman" w:eastAsia="Arial Unicode MS" w:hAnsi="Times New Roman" w:cs="Times New Roman"/>
          <w:sz w:val="18"/>
          <w:szCs w:val="18"/>
        </w:rPr>
        <w:t xml:space="preserve"> on number of callbacks</w:t>
      </w:r>
      <w:r w:rsidRPr="00D1374E">
        <w:rPr>
          <w:rFonts w:ascii="Times New Roman" w:eastAsia="Arial Unicode MS" w:hAnsi="Times New Roman" w:cs="Times New Roman"/>
          <w:sz w:val="18"/>
          <w:szCs w:val="18"/>
        </w:rPr>
        <w:t xml:space="preserve"> is 40% larger for </w:t>
      </w:r>
      <w:r w:rsidR="00212879" w:rsidRPr="00D1374E">
        <w:rPr>
          <w:rFonts w:ascii="Times New Roman" w:eastAsia="Arial Unicode MS" w:hAnsi="Times New Roman" w:cs="Times New Roman"/>
          <w:sz w:val="18"/>
          <w:szCs w:val="18"/>
        </w:rPr>
        <w:t>B</w:t>
      </w:r>
      <w:r w:rsidRPr="00D1374E">
        <w:rPr>
          <w:rFonts w:ascii="Times New Roman" w:eastAsia="Arial Unicode MS" w:hAnsi="Times New Roman" w:cs="Times New Roman"/>
          <w:sz w:val="18"/>
          <w:szCs w:val="18"/>
        </w:rPr>
        <w:t>lack job applicants than white job applicants)</w:t>
      </w:r>
      <w:r w:rsidR="00D3467B" w:rsidRPr="00D1374E">
        <w:rPr>
          <w:rFonts w:ascii="Times New Roman" w:eastAsia="Arial Unicode MS" w:hAnsi="Times New Roman" w:cs="Times New Roman"/>
          <w:sz w:val="18"/>
          <w:szCs w:val="18"/>
        </w:rPr>
        <w:t>.</w:t>
      </w:r>
    </w:p>
  </w:footnote>
  <w:footnote w:id="5">
    <w:p w14:paraId="638D3527" w14:textId="75F16A8A"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i/>
          <w:sz w:val="18"/>
          <w:szCs w:val="18"/>
        </w:rPr>
        <w:t xml:space="preserve"> See, e.g.</w:t>
      </w:r>
      <w:r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mallCaps/>
          <w:sz w:val="18"/>
          <w:szCs w:val="18"/>
          <w:shd w:val="clear" w:color="auto" w:fill="FFFFFF"/>
        </w:rPr>
        <w:t>Margaret Colgate Love, et al., Collateral Consequences of Criminal Conviction: Law Policy And Practice</w:t>
      </w:r>
      <w:r w:rsidRPr="00D1374E">
        <w:rPr>
          <w:rFonts w:ascii="Times New Roman" w:eastAsia="Arial Unicode MS" w:hAnsi="Times New Roman" w:cs="Times New Roman"/>
          <w:sz w:val="18"/>
          <w:szCs w:val="18"/>
          <w:shd w:val="clear" w:color="auto" w:fill="FFFFFF"/>
        </w:rPr>
        <w:t xml:space="preserve"> (West/NACDL 3d ed. 2019); </w:t>
      </w:r>
      <w:proofErr w:type="spellStart"/>
      <w:r w:rsidRPr="00D1374E">
        <w:rPr>
          <w:rFonts w:ascii="Times New Roman" w:eastAsia="Arial Unicode MS" w:hAnsi="Times New Roman" w:cs="Times New Roman"/>
          <w:smallCaps/>
          <w:sz w:val="18"/>
          <w:szCs w:val="18"/>
          <w:shd w:val="clear" w:color="auto" w:fill="FFFFFF"/>
        </w:rPr>
        <w:t>Devah</w:t>
      </w:r>
      <w:proofErr w:type="spellEnd"/>
      <w:r w:rsidRPr="00D1374E">
        <w:rPr>
          <w:rFonts w:ascii="Times New Roman" w:eastAsia="Arial Unicode MS" w:hAnsi="Times New Roman" w:cs="Times New Roman"/>
          <w:smallCaps/>
          <w:sz w:val="18"/>
          <w:szCs w:val="18"/>
          <w:shd w:val="clear" w:color="auto" w:fill="FFFFFF"/>
        </w:rPr>
        <w:t xml:space="preserve"> Pager, Marked: Race, Crime, and Finding Work in an Era of Mass Incarceration</w:t>
      </w:r>
      <w:r w:rsidR="00EB0029" w:rsidRPr="00D1374E">
        <w:rPr>
          <w:rFonts w:ascii="Times New Roman" w:eastAsia="Arial Unicode MS" w:hAnsi="Times New Roman" w:cs="Times New Roman"/>
          <w:sz w:val="18"/>
          <w:szCs w:val="18"/>
          <w:shd w:val="clear" w:color="auto" w:fill="FFFFFF"/>
        </w:rPr>
        <w:t xml:space="preserve"> 28</w:t>
      </w:r>
      <w:r w:rsidR="00995A0E" w:rsidRPr="00D1374E">
        <w:rPr>
          <w:rFonts w:ascii="Times New Roman" w:eastAsia="Arial Unicode MS" w:hAnsi="Times New Roman" w:cs="Times New Roman"/>
          <w:sz w:val="18"/>
          <w:szCs w:val="18"/>
          <w:shd w:val="clear" w:color="auto" w:fill="FFFFFF"/>
        </w:rPr>
        <w:t>–</w:t>
      </w:r>
      <w:r w:rsidR="00EB0029" w:rsidRPr="00D1374E">
        <w:rPr>
          <w:rFonts w:ascii="Times New Roman" w:eastAsia="Arial Unicode MS" w:hAnsi="Times New Roman" w:cs="Times New Roman"/>
          <w:sz w:val="18"/>
          <w:szCs w:val="18"/>
          <w:shd w:val="clear" w:color="auto" w:fill="FFFFFF"/>
        </w:rPr>
        <w:t>41 (2007)</w:t>
      </w:r>
      <w:r w:rsidR="00603005" w:rsidRPr="00D1374E">
        <w:rPr>
          <w:rFonts w:ascii="Times New Roman" w:eastAsia="Arial Unicode MS" w:hAnsi="Times New Roman" w:cs="Times New Roman"/>
          <w:sz w:val="18"/>
          <w:szCs w:val="18"/>
          <w:shd w:val="clear" w:color="auto" w:fill="FFFFFF"/>
        </w:rPr>
        <w:t xml:space="preserve"> (discussing a criminal record as an official “negative credential” and </w:t>
      </w:r>
      <w:r w:rsidR="008736D2" w:rsidRPr="00D1374E">
        <w:rPr>
          <w:rFonts w:ascii="Times New Roman" w:eastAsia="Arial Unicode MS" w:hAnsi="Times New Roman" w:cs="Times New Roman"/>
          <w:sz w:val="18"/>
          <w:szCs w:val="18"/>
          <w:shd w:val="clear" w:color="auto" w:fill="FFFFFF"/>
        </w:rPr>
        <w:t>stigmatizing mark</w:t>
      </w:r>
      <w:r w:rsidR="000F7F46">
        <w:rPr>
          <w:rFonts w:ascii="Times New Roman" w:eastAsia="Arial Unicode MS" w:hAnsi="Times New Roman" w:cs="Times New Roman"/>
          <w:sz w:val="18"/>
          <w:szCs w:val="18"/>
          <w:shd w:val="clear" w:color="auto" w:fill="FFFFFF"/>
        </w:rPr>
        <w:t>,</w:t>
      </w:r>
      <w:r w:rsidR="008736D2" w:rsidRPr="00D1374E">
        <w:rPr>
          <w:rFonts w:ascii="Times New Roman" w:eastAsia="Arial Unicode MS" w:hAnsi="Times New Roman" w:cs="Times New Roman"/>
          <w:sz w:val="18"/>
          <w:szCs w:val="18"/>
          <w:shd w:val="clear" w:color="auto" w:fill="FFFFFF"/>
        </w:rPr>
        <w:t xml:space="preserve"> making jobs and licenses more difficult to obtain)</w:t>
      </w:r>
      <w:r w:rsidR="00EB0029" w:rsidRPr="00D1374E">
        <w:rPr>
          <w:rFonts w:ascii="Times New Roman" w:eastAsia="Arial Unicode MS" w:hAnsi="Times New Roman" w:cs="Times New Roman"/>
          <w:sz w:val="18"/>
          <w:szCs w:val="18"/>
          <w:shd w:val="clear" w:color="auto" w:fill="FFFFFF"/>
        </w:rPr>
        <w:t>;</w:t>
      </w:r>
      <w:r w:rsidR="006A3D02" w:rsidRPr="00D1374E">
        <w:rPr>
          <w:rFonts w:ascii="Times New Roman" w:eastAsia="Arial Unicode MS" w:hAnsi="Times New Roman" w:cs="Times New Roman"/>
          <w:sz w:val="18"/>
          <w:szCs w:val="18"/>
        </w:rPr>
        <w:t xml:space="preserve"> Benjamin D. Geffen, </w:t>
      </w:r>
      <w:r w:rsidR="006A3D02" w:rsidRPr="00D1374E">
        <w:rPr>
          <w:rFonts w:ascii="Times New Roman" w:eastAsia="Arial Unicode MS" w:hAnsi="Times New Roman" w:cs="Times New Roman"/>
          <w:i/>
          <w:sz w:val="18"/>
          <w:szCs w:val="18"/>
        </w:rPr>
        <w:t>The Collateral Consequences of Acquittal: Employment Discrimination on the Basis of Arrests Without Convictions</w:t>
      </w:r>
      <w:r w:rsidR="006A3D02" w:rsidRPr="00D1374E">
        <w:rPr>
          <w:rFonts w:ascii="Times New Roman" w:eastAsia="Arial Unicode MS" w:hAnsi="Times New Roman" w:cs="Times New Roman"/>
          <w:sz w:val="18"/>
          <w:szCs w:val="18"/>
        </w:rPr>
        <w:t xml:space="preserve">, 20 </w:t>
      </w:r>
      <w:r w:rsidR="006A3D02" w:rsidRPr="00D1374E">
        <w:rPr>
          <w:rFonts w:ascii="Times New Roman" w:eastAsia="Arial Unicode MS" w:hAnsi="Times New Roman" w:cs="Times New Roman"/>
          <w:smallCaps/>
          <w:sz w:val="18"/>
          <w:szCs w:val="18"/>
        </w:rPr>
        <w:t>U. Pa. J.L. &amp; Soc. Change</w:t>
      </w:r>
      <w:r w:rsidR="006A3D02" w:rsidRPr="00D1374E">
        <w:rPr>
          <w:rFonts w:ascii="Times New Roman" w:eastAsia="Arial Unicode MS" w:hAnsi="Times New Roman" w:cs="Times New Roman"/>
          <w:sz w:val="18"/>
          <w:szCs w:val="18"/>
        </w:rPr>
        <w:t xml:space="preserve"> 81, 85–88 (2017) (noting negative employment consequences suffered by people who were arrested but never prosecuted);</w:t>
      </w:r>
      <w:r w:rsidR="00EB0029" w:rsidRPr="00D1374E">
        <w:rPr>
          <w:rFonts w:ascii="Times New Roman" w:eastAsia="Arial Unicode MS" w:hAnsi="Times New Roman" w:cs="Times New Roman"/>
          <w:sz w:val="18"/>
          <w:szCs w:val="18"/>
          <w:shd w:val="clear" w:color="auto" w:fill="FFFFFF"/>
        </w:rPr>
        <w:t xml:space="preserve"> </w:t>
      </w:r>
      <w:r w:rsidR="00674942" w:rsidRPr="00D1374E">
        <w:rPr>
          <w:rFonts w:ascii="Times New Roman" w:eastAsia="Arial Unicode MS" w:hAnsi="Times New Roman" w:cs="Times New Roman"/>
          <w:sz w:val="18"/>
          <w:szCs w:val="18"/>
        </w:rPr>
        <w:t>Levin, </w:t>
      </w:r>
      <w:r w:rsidR="00674942" w:rsidRPr="00D1374E">
        <w:rPr>
          <w:rFonts w:ascii="Times New Roman" w:eastAsia="Arial Unicode MS" w:hAnsi="Times New Roman" w:cs="Times New Roman"/>
          <w:i/>
          <w:sz w:val="18"/>
          <w:szCs w:val="18"/>
        </w:rPr>
        <w:t xml:space="preserve">supra </w:t>
      </w:r>
      <w:r w:rsidR="00674942" w:rsidRPr="00D1374E">
        <w:rPr>
          <w:rFonts w:ascii="Times New Roman" w:eastAsia="Arial Unicode MS" w:hAnsi="Times New Roman" w:cs="Times New Roman"/>
          <w:sz w:val="18"/>
          <w:szCs w:val="18"/>
        </w:rPr>
        <w:t>note 1, at 2266</w:t>
      </w:r>
      <w:r w:rsidR="00995A0E" w:rsidRPr="00D1374E">
        <w:rPr>
          <w:rFonts w:ascii="Times New Roman" w:eastAsia="Arial Unicode MS" w:hAnsi="Times New Roman" w:cs="Times New Roman"/>
          <w:sz w:val="18"/>
          <w:szCs w:val="18"/>
        </w:rPr>
        <w:t>–</w:t>
      </w:r>
      <w:r w:rsidR="00674942" w:rsidRPr="00D1374E">
        <w:rPr>
          <w:rFonts w:ascii="Times New Roman" w:eastAsia="Arial Unicode MS" w:hAnsi="Times New Roman" w:cs="Times New Roman"/>
          <w:sz w:val="18"/>
          <w:szCs w:val="18"/>
        </w:rPr>
        <w:t>2271</w:t>
      </w:r>
      <w:r w:rsidR="006A3D02" w:rsidRPr="00D1374E">
        <w:rPr>
          <w:rFonts w:ascii="Times New Roman" w:eastAsia="Arial Unicode MS" w:hAnsi="Times New Roman" w:cs="Times New Roman"/>
          <w:sz w:val="18"/>
          <w:szCs w:val="18"/>
        </w:rPr>
        <w:t xml:space="preserve"> </w:t>
      </w:r>
      <w:r w:rsidR="00674942" w:rsidRPr="00D1374E">
        <w:rPr>
          <w:rFonts w:ascii="Times New Roman" w:eastAsia="Arial Unicode MS" w:hAnsi="Times New Roman" w:cs="Times New Roman"/>
          <w:sz w:val="18"/>
          <w:szCs w:val="18"/>
        </w:rPr>
        <w:t>(</w:t>
      </w:r>
      <w:r w:rsidR="00F35B2B" w:rsidRPr="00D1374E">
        <w:rPr>
          <w:rFonts w:ascii="Times New Roman" w:eastAsia="Arial Unicode MS" w:hAnsi="Times New Roman" w:cs="Times New Roman"/>
          <w:sz w:val="18"/>
          <w:szCs w:val="18"/>
        </w:rPr>
        <w:t>stating that employers may fire, punish, or refuse to hire workers with criminal records</w:t>
      </w:r>
      <w:r w:rsidR="00674942" w:rsidRPr="00D1374E">
        <w:rPr>
          <w:rFonts w:ascii="Times New Roman" w:eastAsia="Arial Unicode MS" w:hAnsi="Times New Roman" w:cs="Times New Roman"/>
          <w:sz w:val="18"/>
          <w:szCs w:val="18"/>
        </w:rPr>
        <w:t>).</w:t>
      </w:r>
    </w:p>
  </w:footnote>
  <w:footnote w:id="6">
    <w:p w14:paraId="6A9741C0" w14:textId="72047509" w:rsidR="00001F92" w:rsidRPr="00D1374E" w:rsidRDefault="00001F92"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14622C" w:rsidRPr="00A77A00">
        <w:rPr>
          <w:smallCaps/>
          <w:sz w:val="18"/>
          <w:szCs w:val="18"/>
        </w:rPr>
        <w:t xml:space="preserve">N.Y. Educ. Law </w:t>
      </w:r>
      <w:r w:rsidR="003101B7" w:rsidRPr="00D1374E">
        <w:rPr>
          <w:sz w:val="18"/>
          <w:szCs w:val="18"/>
        </w:rPr>
        <w:t>§ 2590-h(20)</w:t>
      </w:r>
      <w:r w:rsidR="004B4977">
        <w:rPr>
          <w:sz w:val="18"/>
          <w:szCs w:val="18"/>
        </w:rPr>
        <w:t xml:space="preserve"> (2019)</w:t>
      </w:r>
      <w:r w:rsidR="003101B7" w:rsidRPr="00D1374E">
        <w:rPr>
          <w:sz w:val="18"/>
          <w:szCs w:val="18"/>
        </w:rPr>
        <w:t xml:space="preserve">; </w:t>
      </w:r>
      <w:r w:rsidR="002E7E35" w:rsidRPr="00D1374E">
        <w:rPr>
          <w:sz w:val="18"/>
          <w:szCs w:val="18"/>
        </w:rPr>
        <w:t>N.Y.C. Dep’t of Educ.,</w:t>
      </w:r>
      <w:r w:rsidR="004B4977">
        <w:rPr>
          <w:sz w:val="18"/>
          <w:szCs w:val="18"/>
        </w:rPr>
        <w:t xml:space="preserve"> </w:t>
      </w:r>
      <w:r w:rsidR="002E7E35" w:rsidRPr="00D1374E">
        <w:rPr>
          <w:sz w:val="18"/>
          <w:szCs w:val="18"/>
        </w:rPr>
        <w:t>Reg.</w:t>
      </w:r>
      <w:r w:rsidR="004B4977">
        <w:rPr>
          <w:sz w:val="18"/>
          <w:szCs w:val="18"/>
        </w:rPr>
        <w:t xml:space="preserve"> of the Chancellor</w:t>
      </w:r>
      <w:r w:rsidR="002E7E35" w:rsidRPr="00D1374E">
        <w:rPr>
          <w:sz w:val="18"/>
          <w:szCs w:val="18"/>
        </w:rPr>
        <w:t xml:space="preserve"> C-105</w:t>
      </w:r>
      <w:r w:rsidR="003101B7" w:rsidRPr="00D1374E">
        <w:rPr>
          <w:sz w:val="18"/>
          <w:szCs w:val="18"/>
        </w:rPr>
        <w:t xml:space="preserve"> (2003).</w:t>
      </w:r>
      <w:r w:rsidR="002E7E35" w:rsidRPr="00D1374E">
        <w:rPr>
          <w:sz w:val="18"/>
          <w:szCs w:val="18"/>
        </w:rPr>
        <w:t xml:space="preserve"> </w:t>
      </w:r>
    </w:p>
  </w:footnote>
  <w:footnote w:id="7">
    <w:p w14:paraId="23F69CB8" w14:textId="45CED896" w:rsidR="00C07BA4" w:rsidRPr="00A77A00" w:rsidRDefault="00C07BA4" w:rsidP="00D1374E">
      <w:pPr>
        <w:pStyle w:val="FootnoteText"/>
        <w:ind w:firstLine="180"/>
        <w:jc w:val="both"/>
        <w:rPr>
          <w:sz w:val="18"/>
          <w:szCs w:val="18"/>
          <w:lang w:val="es-ES"/>
        </w:rPr>
      </w:pPr>
      <w:r w:rsidRPr="00D1374E">
        <w:rPr>
          <w:rStyle w:val="FootnoteReference"/>
          <w:sz w:val="18"/>
          <w:szCs w:val="18"/>
        </w:rPr>
        <w:footnoteRef/>
      </w:r>
      <w:r w:rsidRPr="00A77A00">
        <w:rPr>
          <w:sz w:val="18"/>
          <w:szCs w:val="18"/>
          <w:lang w:val="es-ES"/>
        </w:rPr>
        <w:t xml:space="preserve"> </w:t>
      </w:r>
      <w:r w:rsidR="0084185D" w:rsidRPr="00A77A00">
        <w:rPr>
          <w:sz w:val="18"/>
          <w:szCs w:val="18"/>
          <w:lang w:val="es-ES"/>
        </w:rPr>
        <w:t xml:space="preserve">8 </w:t>
      </w:r>
      <w:r w:rsidR="0084185D" w:rsidRPr="00A77A00">
        <w:rPr>
          <w:smallCaps/>
          <w:sz w:val="18"/>
          <w:szCs w:val="18"/>
          <w:lang w:val="es-ES"/>
        </w:rPr>
        <w:t>N.Y.</w:t>
      </w:r>
      <w:r w:rsidR="004B4977" w:rsidRPr="00A77A00">
        <w:rPr>
          <w:smallCaps/>
          <w:sz w:val="18"/>
          <w:szCs w:val="18"/>
          <w:lang w:val="es-ES"/>
        </w:rPr>
        <w:t xml:space="preserve"> </w:t>
      </w:r>
      <w:r w:rsidR="0084185D" w:rsidRPr="00A77A00">
        <w:rPr>
          <w:smallCaps/>
          <w:sz w:val="18"/>
          <w:szCs w:val="18"/>
          <w:lang w:val="es-ES"/>
        </w:rPr>
        <w:t>C</w:t>
      </w:r>
      <w:r w:rsidR="004B4977" w:rsidRPr="00A77A00">
        <w:rPr>
          <w:smallCaps/>
          <w:sz w:val="18"/>
          <w:szCs w:val="18"/>
          <w:lang w:val="es-ES"/>
        </w:rPr>
        <w:t>omp</w:t>
      </w:r>
      <w:r w:rsidR="0084185D" w:rsidRPr="00A77A00">
        <w:rPr>
          <w:smallCaps/>
          <w:sz w:val="18"/>
          <w:szCs w:val="18"/>
          <w:lang w:val="es-ES"/>
        </w:rPr>
        <w:t>.</w:t>
      </w:r>
      <w:r w:rsidR="004B4977" w:rsidRPr="00A77A00">
        <w:rPr>
          <w:smallCaps/>
          <w:sz w:val="18"/>
          <w:szCs w:val="18"/>
          <w:lang w:val="es-ES"/>
        </w:rPr>
        <w:t xml:space="preserve"> Codes </w:t>
      </w:r>
      <w:r w:rsidR="0084185D" w:rsidRPr="00A77A00">
        <w:rPr>
          <w:smallCaps/>
          <w:sz w:val="18"/>
          <w:szCs w:val="18"/>
          <w:lang w:val="es-ES"/>
        </w:rPr>
        <w:t>R.</w:t>
      </w:r>
      <w:r w:rsidR="004B4977" w:rsidRPr="00A77A00">
        <w:rPr>
          <w:smallCaps/>
          <w:sz w:val="18"/>
          <w:szCs w:val="18"/>
          <w:lang w:val="es-ES"/>
        </w:rPr>
        <w:t xml:space="preserve"> &amp; </w:t>
      </w:r>
      <w:r w:rsidR="0084185D" w:rsidRPr="00A77A00">
        <w:rPr>
          <w:smallCaps/>
          <w:sz w:val="18"/>
          <w:szCs w:val="18"/>
          <w:lang w:val="es-ES"/>
        </w:rPr>
        <w:t>R.</w:t>
      </w:r>
      <w:r w:rsidR="0084185D" w:rsidRPr="00A77A00">
        <w:rPr>
          <w:sz w:val="18"/>
          <w:szCs w:val="18"/>
          <w:lang w:val="es-ES"/>
        </w:rPr>
        <w:t xml:space="preserve"> §</w:t>
      </w:r>
      <w:r w:rsidR="007D3D6D" w:rsidRPr="00A77A00">
        <w:rPr>
          <w:sz w:val="18"/>
          <w:szCs w:val="18"/>
          <w:lang w:val="es-ES"/>
        </w:rPr>
        <w:t>§</w:t>
      </w:r>
      <w:r w:rsidR="0084185D" w:rsidRPr="00A77A00">
        <w:rPr>
          <w:sz w:val="18"/>
          <w:szCs w:val="18"/>
          <w:lang w:val="es-ES"/>
        </w:rPr>
        <w:t xml:space="preserve"> 87.2(e)</w:t>
      </w:r>
      <w:r w:rsidR="007D3D6D" w:rsidRPr="00A77A00">
        <w:rPr>
          <w:sz w:val="18"/>
          <w:szCs w:val="18"/>
          <w:lang w:val="es-ES"/>
        </w:rPr>
        <w:t>, 87.3, 87.4</w:t>
      </w:r>
      <w:r w:rsidR="004B4977">
        <w:rPr>
          <w:sz w:val="18"/>
          <w:szCs w:val="18"/>
          <w:lang w:val="es-ES"/>
        </w:rPr>
        <w:t xml:space="preserve"> (2007)</w:t>
      </w:r>
      <w:r w:rsidR="0084185D" w:rsidRPr="00A77A00">
        <w:rPr>
          <w:sz w:val="18"/>
          <w:szCs w:val="18"/>
          <w:lang w:val="es-ES"/>
        </w:rPr>
        <w:t>.</w:t>
      </w:r>
    </w:p>
  </w:footnote>
  <w:footnote w:id="8">
    <w:p w14:paraId="1BCF2C6F" w14:textId="398EDE6D" w:rsidR="001005DB" w:rsidRPr="00D1374E" w:rsidRDefault="001005DB"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884218" w:rsidRPr="00A77A00">
        <w:rPr>
          <w:smallCaps/>
          <w:sz w:val="18"/>
          <w:szCs w:val="18"/>
        </w:rPr>
        <w:t>N.Y Soc. Serv. Law</w:t>
      </w:r>
      <w:r w:rsidR="00884218" w:rsidRPr="00D1374E">
        <w:rPr>
          <w:sz w:val="18"/>
          <w:szCs w:val="18"/>
        </w:rPr>
        <w:t xml:space="preserve"> § 390-b</w:t>
      </w:r>
      <w:r w:rsidR="004B4977">
        <w:rPr>
          <w:sz w:val="18"/>
          <w:szCs w:val="18"/>
        </w:rPr>
        <w:t xml:space="preserve"> (2019)</w:t>
      </w:r>
      <w:r w:rsidR="00884218" w:rsidRPr="00D1374E">
        <w:rPr>
          <w:sz w:val="18"/>
          <w:szCs w:val="18"/>
        </w:rPr>
        <w:t xml:space="preserve">; </w:t>
      </w:r>
      <w:r w:rsidR="00CE6192" w:rsidRPr="00D1374E">
        <w:rPr>
          <w:sz w:val="18"/>
          <w:szCs w:val="18"/>
        </w:rPr>
        <w:t xml:space="preserve">24 </w:t>
      </w:r>
      <w:r w:rsidR="00CE6192" w:rsidRPr="00A77A00">
        <w:rPr>
          <w:smallCaps/>
          <w:sz w:val="18"/>
          <w:szCs w:val="18"/>
        </w:rPr>
        <w:t>N.Y.</w:t>
      </w:r>
      <w:r w:rsidR="006B5033" w:rsidRPr="00A77A00">
        <w:rPr>
          <w:smallCaps/>
          <w:sz w:val="18"/>
          <w:szCs w:val="18"/>
        </w:rPr>
        <w:t>C. Rule</w:t>
      </w:r>
      <w:r w:rsidR="006B5033">
        <w:rPr>
          <w:smallCaps/>
          <w:sz w:val="18"/>
          <w:szCs w:val="18"/>
        </w:rPr>
        <w:t>s &amp; Regs.</w:t>
      </w:r>
      <w:r w:rsidR="00CE6192" w:rsidRPr="00D1374E">
        <w:rPr>
          <w:sz w:val="18"/>
          <w:szCs w:val="18"/>
        </w:rPr>
        <w:t xml:space="preserve"> § 47.19</w:t>
      </w:r>
      <w:r w:rsidR="004921D6" w:rsidRPr="00D1374E">
        <w:rPr>
          <w:sz w:val="18"/>
          <w:szCs w:val="18"/>
        </w:rPr>
        <w:t>(c)(1)</w:t>
      </w:r>
      <w:r w:rsidR="006B5033">
        <w:rPr>
          <w:sz w:val="18"/>
          <w:szCs w:val="18"/>
        </w:rPr>
        <w:t xml:space="preserve"> (2020)</w:t>
      </w:r>
      <w:r w:rsidR="00CE6192" w:rsidRPr="00D1374E">
        <w:rPr>
          <w:sz w:val="18"/>
          <w:szCs w:val="18"/>
        </w:rPr>
        <w:t>.</w:t>
      </w:r>
    </w:p>
  </w:footnote>
  <w:footnote w:id="9">
    <w:p w14:paraId="0C7E8756" w14:textId="2D519B8A" w:rsidR="0018049F" w:rsidRPr="00D1374E" w:rsidRDefault="0018049F"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A violation is </w:t>
      </w:r>
      <w:r w:rsidR="00473351" w:rsidRPr="00D1374E">
        <w:rPr>
          <w:sz w:val="18"/>
          <w:szCs w:val="18"/>
        </w:rPr>
        <w:t>a type of conviction</w:t>
      </w:r>
      <w:r w:rsidR="000B4E9B" w:rsidRPr="00D1374E">
        <w:rPr>
          <w:sz w:val="18"/>
          <w:szCs w:val="18"/>
        </w:rPr>
        <w:t xml:space="preserve"> that can result from criminal prosecution in New York State. Although a violation is not a crime, it can negatively affect employment opportunities. </w:t>
      </w:r>
      <w:r w:rsidR="000B4E9B" w:rsidRPr="00A77A00">
        <w:rPr>
          <w:i/>
          <w:sz w:val="18"/>
          <w:szCs w:val="18"/>
        </w:rPr>
        <w:t>See</w:t>
      </w:r>
      <w:r w:rsidR="000B4E9B" w:rsidRPr="00D1374E">
        <w:rPr>
          <w:i/>
          <w:sz w:val="18"/>
          <w:szCs w:val="18"/>
        </w:rPr>
        <w:t xml:space="preserve"> </w:t>
      </w:r>
      <w:r w:rsidR="000B4E9B" w:rsidRPr="00A77A00">
        <w:rPr>
          <w:smallCaps/>
          <w:sz w:val="18"/>
          <w:szCs w:val="18"/>
        </w:rPr>
        <w:t>N.Y. Penal Law</w:t>
      </w:r>
      <w:r w:rsidR="000B4E9B" w:rsidRPr="00D1374E">
        <w:rPr>
          <w:sz w:val="18"/>
          <w:szCs w:val="18"/>
        </w:rPr>
        <w:t xml:space="preserve"> § 10.00</w:t>
      </w:r>
      <w:r w:rsidR="006B5033">
        <w:rPr>
          <w:sz w:val="18"/>
          <w:szCs w:val="18"/>
        </w:rPr>
        <w:t>(1) (2019)</w:t>
      </w:r>
      <w:r w:rsidR="000B4E9B" w:rsidRPr="00D1374E">
        <w:rPr>
          <w:sz w:val="18"/>
          <w:szCs w:val="18"/>
        </w:rPr>
        <w:t xml:space="preserve"> (defining “violation” as “an offense, other than a ‘traffic infraction,’ for which a sentence to a term of imprisonment in excess of fifteen days cannot be imposed,” and defining “crime” as “a misdemeanor or a felony”). </w:t>
      </w:r>
    </w:p>
  </w:footnote>
  <w:footnote w:id="10">
    <w:p w14:paraId="7B99DF0E" w14:textId="38F7D390" w:rsidR="00836E34" w:rsidRPr="00D1374E" w:rsidRDefault="00836E34"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mallCaps/>
          <w:sz w:val="18"/>
          <w:szCs w:val="18"/>
        </w:rPr>
        <w:t>Legal Aid Soc’y, Annual Report 2019</w:t>
      </w:r>
      <w:r w:rsidR="00AC5E69" w:rsidRPr="00D1374E">
        <w:rPr>
          <w:rFonts w:ascii="Times New Roman" w:eastAsia="Arial Unicode MS" w:hAnsi="Times New Roman" w:cs="Times New Roman"/>
          <w:smallCaps/>
          <w:sz w:val="18"/>
          <w:szCs w:val="18"/>
        </w:rPr>
        <w:t xml:space="preserve">: Justice in Every Borough </w:t>
      </w:r>
      <w:r w:rsidR="00AC5E69" w:rsidRPr="00D1374E">
        <w:rPr>
          <w:rFonts w:ascii="Times New Roman" w:eastAsia="Arial Unicode MS" w:hAnsi="Times New Roman" w:cs="Times New Roman"/>
          <w:sz w:val="18"/>
          <w:szCs w:val="18"/>
        </w:rPr>
        <w:t>28</w:t>
      </w:r>
      <w:r w:rsidRPr="00D1374E">
        <w:rPr>
          <w:rFonts w:ascii="Times New Roman" w:eastAsia="Arial Unicode MS" w:hAnsi="Times New Roman" w:cs="Times New Roman"/>
          <w:sz w:val="18"/>
          <w:szCs w:val="18"/>
        </w:rPr>
        <w:t xml:space="preserve"> </w:t>
      </w:r>
      <w:r w:rsidR="00AC5E69" w:rsidRPr="00D1374E">
        <w:rPr>
          <w:rFonts w:ascii="Times New Roman" w:eastAsia="Arial Unicode MS" w:hAnsi="Times New Roman" w:cs="Times New Roman"/>
          <w:sz w:val="18"/>
          <w:szCs w:val="18"/>
        </w:rPr>
        <w:t xml:space="preserve">(2020) </w:t>
      </w:r>
      <w:r w:rsidR="000F7F46" w:rsidRPr="00D1374E">
        <w:rPr>
          <w:rStyle w:val="Hyperlink0"/>
          <w:rFonts w:ascii="Times New Roman" w:eastAsia="Arial Unicode MS" w:hAnsi="Times New Roman" w:cs="Times New Roman"/>
          <w:sz w:val="18"/>
          <w:szCs w:val="18"/>
          <w:u w:val="none"/>
        </w:rPr>
        <w:t>https://legalaidnyc.org/annual-report/2019/img/LAS-AR-2019.pdf</w:t>
      </w:r>
      <w:r w:rsidR="00AC5E69" w:rsidRPr="00D1374E">
        <w:rPr>
          <w:rFonts w:ascii="Times New Roman" w:eastAsia="Arial Unicode MS" w:hAnsi="Times New Roman" w:cs="Times New Roman"/>
          <w:sz w:val="18"/>
          <w:szCs w:val="18"/>
        </w:rPr>
        <w:t xml:space="preserve"> [https://perma.cc/C5YN-FMXY].</w:t>
      </w:r>
    </w:p>
  </w:footnote>
  <w:footnote w:id="11">
    <w:p w14:paraId="51A51874" w14:textId="6AA011B7" w:rsidR="0073258C" w:rsidRPr="00D1374E" w:rsidRDefault="0073258C"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While this article focuses on New York, where the Worker Justice Project is</w:t>
      </w:r>
      <w:r w:rsidR="00AD4E3B" w:rsidRPr="00D1374E">
        <w:rPr>
          <w:sz w:val="18"/>
          <w:szCs w:val="18"/>
        </w:rPr>
        <w:t xml:space="preserve"> located</w:t>
      </w:r>
      <w:r w:rsidRPr="00D1374E">
        <w:rPr>
          <w:sz w:val="18"/>
          <w:szCs w:val="18"/>
        </w:rPr>
        <w:t xml:space="preserve">, </w:t>
      </w:r>
      <w:r w:rsidR="00F42A95" w:rsidRPr="00D1374E">
        <w:rPr>
          <w:sz w:val="18"/>
          <w:szCs w:val="18"/>
        </w:rPr>
        <w:t>various</w:t>
      </w:r>
      <w:r w:rsidR="00AD4E3B" w:rsidRPr="00D1374E">
        <w:rPr>
          <w:sz w:val="18"/>
          <w:szCs w:val="18"/>
        </w:rPr>
        <w:t xml:space="preserve"> </w:t>
      </w:r>
      <w:r w:rsidRPr="00D1374E">
        <w:rPr>
          <w:sz w:val="18"/>
          <w:szCs w:val="18"/>
        </w:rPr>
        <w:t xml:space="preserve">other states and cities have </w:t>
      </w:r>
      <w:r w:rsidR="00AD4E3B" w:rsidRPr="00D1374E">
        <w:rPr>
          <w:sz w:val="18"/>
          <w:szCs w:val="18"/>
        </w:rPr>
        <w:t xml:space="preserve">strong </w:t>
      </w:r>
      <w:r w:rsidRPr="00D1374E">
        <w:rPr>
          <w:sz w:val="18"/>
          <w:szCs w:val="18"/>
        </w:rPr>
        <w:t>protections</w:t>
      </w:r>
      <w:r w:rsidR="00AD4E3B" w:rsidRPr="00D1374E">
        <w:rPr>
          <w:sz w:val="18"/>
          <w:szCs w:val="18"/>
        </w:rPr>
        <w:t xml:space="preserve"> for workers with records</w:t>
      </w:r>
      <w:r w:rsidRPr="00D1374E">
        <w:rPr>
          <w:sz w:val="18"/>
          <w:szCs w:val="18"/>
        </w:rPr>
        <w:t>.</w:t>
      </w:r>
      <w:r w:rsidR="00AD4E3B" w:rsidRPr="00D1374E">
        <w:rPr>
          <w:sz w:val="18"/>
          <w:szCs w:val="18"/>
        </w:rPr>
        <w:t xml:space="preserve"> </w:t>
      </w:r>
      <w:r w:rsidR="00E807BD" w:rsidRPr="00D1374E">
        <w:rPr>
          <w:i/>
          <w:sz w:val="18"/>
          <w:szCs w:val="18"/>
        </w:rPr>
        <w:t>See</w:t>
      </w:r>
      <w:r w:rsidR="00DB0E67" w:rsidRPr="00A77A00">
        <w:rPr>
          <w:sz w:val="18"/>
          <w:szCs w:val="18"/>
        </w:rPr>
        <w:t xml:space="preserve"> </w:t>
      </w:r>
      <w:r w:rsidRPr="00D1374E">
        <w:rPr>
          <w:sz w:val="18"/>
          <w:szCs w:val="18"/>
        </w:rPr>
        <w:t xml:space="preserve">Beth Avery, </w:t>
      </w:r>
      <w:r w:rsidRPr="00D1374E">
        <w:rPr>
          <w:i/>
          <w:sz w:val="18"/>
          <w:szCs w:val="18"/>
        </w:rPr>
        <w:t>Ban the Box: U.S. Cities, Counties, and States Adopt Fair Hiring Policies</w:t>
      </w:r>
      <w:r w:rsidRPr="00D1374E">
        <w:rPr>
          <w:sz w:val="18"/>
          <w:szCs w:val="18"/>
        </w:rPr>
        <w:t xml:space="preserve">, </w:t>
      </w:r>
      <w:r w:rsidRPr="00E95382">
        <w:rPr>
          <w:smallCaps/>
          <w:sz w:val="18"/>
          <w:szCs w:val="18"/>
        </w:rPr>
        <w:t>Nat’l Emp</w:t>
      </w:r>
      <w:r w:rsidR="00640CE0" w:rsidRPr="00E95382">
        <w:rPr>
          <w:smallCaps/>
          <w:sz w:val="18"/>
          <w:szCs w:val="18"/>
        </w:rPr>
        <w:t>’t Law Project</w:t>
      </w:r>
      <w:r w:rsidR="00640CE0" w:rsidRPr="00D1374E">
        <w:rPr>
          <w:sz w:val="18"/>
          <w:szCs w:val="18"/>
        </w:rPr>
        <w:t xml:space="preserve"> (July 1, 2019), https://www.nelp.org/publication/ban-the-box-fair-chance-hiring-state-and-local-guide/ [https://perma.cc/966Q-UQLP]</w:t>
      </w:r>
      <w:r w:rsidR="00F42A95" w:rsidRPr="00D1374E">
        <w:rPr>
          <w:sz w:val="18"/>
          <w:szCs w:val="18"/>
        </w:rPr>
        <w:t xml:space="preserve"> (</w:t>
      </w:r>
      <w:r w:rsidR="00E807BD" w:rsidRPr="00D1374E">
        <w:rPr>
          <w:sz w:val="18"/>
          <w:szCs w:val="18"/>
        </w:rPr>
        <w:t xml:space="preserve">describing the various state and city laws and policies </w:t>
      </w:r>
      <w:r w:rsidR="00F42A95" w:rsidRPr="00D1374E">
        <w:rPr>
          <w:sz w:val="18"/>
          <w:szCs w:val="18"/>
        </w:rPr>
        <w:t xml:space="preserve">concerning employment-related criminal record discrimination); </w:t>
      </w:r>
      <w:r w:rsidR="00E807BD" w:rsidRPr="00A77A00">
        <w:rPr>
          <w:i/>
          <w:sz w:val="18"/>
          <w:szCs w:val="18"/>
        </w:rPr>
        <w:t xml:space="preserve">50-State Comparison: Criminal Record </w:t>
      </w:r>
      <w:r w:rsidR="00834499" w:rsidRPr="00A77A00">
        <w:rPr>
          <w:i/>
          <w:sz w:val="18"/>
          <w:szCs w:val="18"/>
        </w:rPr>
        <w:t>in Employment &amp; Licensing</w:t>
      </w:r>
      <w:r w:rsidR="006B5033">
        <w:rPr>
          <w:sz w:val="18"/>
          <w:szCs w:val="18"/>
        </w:rPr>
        <w:t xml:space="preserve">, </w:t>
      </w:r>
      <w:r w:rsidR="006B5033" w:rsidRPr="00A77A00">
        <w:rPr>
          <w:smallCaps/>
          <w:sz w:val="18"/>
          <w:szCs w:val="18"/>
        </w:rPr>
        <w:t>Restoration of Rights Project</w:t>
      </w:r>
      <w:r w:rsidR="00834499" w:rsidRPr="00D1374E">
        <w:rPr>
          <w:sz w:val="18"/>
          <w:szCs w:val="18"/>
        </w:rPr>
        <w:t xml:space="preserve"> (</w:t>
      </w:r>
      <w:r w:rsidR="00E807BD" w:rsidRPr="00D1374E">
        <w:rPr>
          <w:sz w:val="18"/>
          <w:szCs w:val="18"/>
        </w:rPr>
        <w:t xml:space="preserve">2019), </w:t>
      </w:r>
      <w:r w:rsidR="006B5033" w:rsidRPr="006B5033">
        <w:rPr>
          <w:sz w:val="18"/>
          <w:szCs w:val="18"/>
        </w:rPr>
        <w:t>http://ccresourcecenter.org/state-restoration-profiles/50-state-comparisoncomparison-of-criminal-records-in-licensing-and-employment/</w:t>
      </w:r>
      <w:r w:rsidR="00E807BD" w:rsidRPr="00D1374E">
        <w:rPr>
          <w:sz w:val="18"/>
          <w:szCs w:val="18"/>
        </w:rPr>
        <w:t xml:space="preserve"> </w:t>
      </w:r>
      <w:r w:rsidR="006B5033">
        <w:rPr>
          <w:sz w:val="18"/>
          <w:szCs w:val="18"/>
        </w:rPr>
        <w:t>[</w:t>
      </w:r>
      <w:r w:rsidR="006B5033" w:rsidRPr="006B5033">
        <w:rPr>
          <w:sz w:val="18"/>
          <w:szCs w:val="18"/>
        </w:rPr>
        <w:t>https://perma.cc/JL8R-5J8V</w:t>
      </w:r>
      <w:r w:rsidR="006B5033">
        <w:rPr>
          <w:sz w:val="18"/>
          <w:szCs w:val="18"/>
        </w:rPr>
        <w:t xml:space="preserve">] </w:t>
      </w:r>
      <w:r w:rsidR="00E807BD" w:rsidRPr="00D1374E">
        <w:rPr>
          <w:sz w:val="18"/>
          <w:szCs w:val="18"/>
        </w:rPr>
        <w:t xml:space="preserve">(comparing </w:t>
      </w:r>
      <w:r w:rsidR="00F7443E" w:rsidRPr="00D1374E">
        <w:rPr>
          <w:sz w:val="18"/>
          <w:szCs w:val="18"/>
        </w:rPr>
        <w:t xml:space="preserve">and categorizing </w:t>
      </w:r>
      <w:r w:rsidR="00E807BD" w:rsidRPr="00D1374E">
        <w:rPr>
          <w:sz w:val="18"/>
          <w:szCs w:val="18"/>
        </w:rPr>
        <w:t>each state’s</w:t>
      </w:r>
      <w:r w:rsidR="00F7443E" w:rsidRPr="00D1374E">
        <w:rPr>
          <w:sz w:val="18"/>
          <w:szCs w:val="18"/>
        </w:rPr>
        <w:t xml:space="preserve"> statutes regulating criminal record discrimination in employment and licensing).</w:t>
      </w:r>
      <w:r w:rsidR="00E807BD" w:rsidRPr="00D1374E">
        <w:rPr>
          <w:sz w:val="18"/>
          <w:szCs w:val="18"/>
        </w:rPr>
        <w:t xml:space="preserve"> </w:t>
      </w:r>
      <w:r w:rsidR="00E50C04" w:rsidRPr="00D1374E">
        <w:rPr>
          <w:sz w:val="18"/>
          <w:szCs w:val="18"/>
        </w:rPr>
        <w:t>Some advocates, however, live in states or localities without strong antidiscrimination protections for people with criminal records. I recommend that th</w:t>
      </w:r>
      <w:r w:rsidR="00F9453D" w:rsidRPr="00D1374E">
        <w:rPr>
          <w:sz w:val="18"/>
          <w:szCs w:val="18"/>
        </w:rPr>
        <w:t>e</w:t>
      </w:r>
      <w:r w:rsidR="00E50C04" w:rsidRPr="00D1374E">
        <w:rPr>
          <w:sz w:val="18"/>
          <w:szCs w:val="18"/>
        </w:rPr>
        <w:t xml:space="preserve">se advocates </w:t>
      </w:r>
      <w:r w:rsidR="00F9453D" w:rsidRPr="00D1374E">
        <w:rPr>
          <w:sz w:val="18"/>
          <w:szCs w:val="18"/>
        </w:rPr>
        <w:t>prioritize legislative advocacy for strong criminal record discrimination laws, where feasible, over ba</w:t>
      </w:r>
      <w:r w:rsidR="00834499" w:rsidRPr="00D1374E">
        <w:rPr>
          <w:sz w:val="18"/>
          <w:szCs w:val="18"/>
        </w:rPr>
        <w:t>sic Know Your R</w:t>
      </w:r>
      <w:r w:rsidR="00F9453D" w:rsidRPr="00D1374E">
        <w:rPr>
          <w:sz w:val="18"/>
          <w:szCs w:val="18"/>
        </w:rPr>
        <w:t xml:space="preserve">ights education. However, as </w:t>
      </w:r>
      <w:r w:rsidR="00FE3500" w:rsidRPr="00D1374E">
        <w:rPr>
          <w:sz w:val="18"/>
          <w:szCs w:val="18"/>
        </w:rPr>
        <w:t xml:space="preserve">I explain below, I believe </w:t>
      </w:r>
      <w:r w:rsidR="00F9453D" w:rsidRPr="00D1374E">
        <w:rPr>
          <w:sz w:val="18"/>
          <w:szCs w:val="18"/>
        </w:rPr>
        <w:t xml:space="preserve">accomplishment packets </w:t>
      </w:r>
      <w:r w:rsidR="00834499" w:rsidRPr="00D1374E">
        <w:rPr>
          <w:sz w:val="18"/>
          <w:szCs w:val="18"/>
        </w:rPr>
        <w:t>can be</w:t>
      </w:r>
      <w:r w:rsidR="00F9453D" w:rsidRPr="00D1374E">
        <w:rPr>
          <w:sz w:val="18"/>
          <w:szCs w:val="18"/>
        </w:rPr>
        <w:t xml:space="preserve"> beneficial even in </w:t>
      </w:r>
      <w:r w:rsidR="00834499" w:rsidRPr="00D1374E">
        <w:rPr>
          <w:sz w:val="18"/>
          <w:szCs w:val="18"/>
        </w:rPr>
        <w:t>jurisdictions with weak criminal record discrimination laws.</w:t>
      </w:r>
      <w:r w:rsidR="005F6449" w:rsidRPr="00D1374E">
        <w:rPr>
          <w:sz w:val="18"/>
          <w:szCs w:val="18"/>
        </w:rPr>
        <w:t xml:space="preserve"> </w:t>
      </w:r>
      <w:r w:rsidR="005F6449" w:rsidRPr="00D1374E">
        <w:rPr>
          <w:i/>
          <w:sz w:val="18"/>
          <w:szCs w:val="18"/>
        </w:rPr>
        <w:t>See</w:t>
      </w:r>
      <w:r w:rsidR="005F6449" w:rsidRPr="00D1374E">
        <w:rPr>
          <w:sz w:val="18"/>
          <w:szCs w:val="18"/>
        </w:rPr>
        <w:t xml:space="preserve"> </w:t>
      </w:r>
      <w:r w:rsidR="005F6449" w:rsidRPr="00D1374E">
        <w:rPr>
          <w:i/>
          <w:sz w:val="18"/>
          <w:szCs w:val="18"/>
        </w:rPr>
        <w:t>infra</w:t>
      </w:r>
      <w:r w:rsidR="005F6449" w:rsidRPr="00D1374E">
        <w:rPr>
          <w:sz w:val="18"/>
          <w:szCs w:val="18"/>
        </w:rPr>
        <w:t xml:space="preserve"> n.</w:t>
      </w:r>
      <w:r w:rsidR="00FE3500" w:rsidRPr="00D1374E">
        <w:rPr>
          <w:sz w:val="18"/>
          <w:szCs w:val="18"/>
        </w:rPr>
        <w:t xml:space="preserve"> </w:t>
      </w:r>
      <w:r w:rsidR="00FE3500" w:rsidRPr="00D1374E">
        <w:rPr>
          <w:sz w:val="18"/>
          <w:szCs w:val="18"/>
        </w:rPr>
        <w:fldChar w:fldCharType="begin"/>
      </w:r>
      <w:r w:rsidR="00FE3500" w:rsidRPr="00D1374E">
        <w:rPr>
          <w:sz w:val="18"/>
          <w:szCs w:val="18"/>
        </w:rPr>
        <w:instrText xml:space="preserve"> NOTEREF _Ref35181077 \h </w:instrText>
      </w:r>
      <w:r w:rsidR="00D1374E">
        <w:rPr>
          <w:sz w:val="18"/>
          <w:szCs w:val="18"/>
        </w:rPr>
        <w:instrText xml:space="preserve"> \* MERGEFORMAT </w:instrText>
      </w:r>
      <w:r w:rsidR="00FE3500" w:rsidRPr="00D1374E">
        <w:rPr>
          <w:sz w:val="18"/>
          <w:szCs w:val="18"/>
        </w:rPr>
      </w:r>
      <w:r w:rsidR="00FE3500" w:rsidRPr="00D1374E">
        <w:rPr>
          <w:sz w:val="18"/>
          <w:szCs w:val="18"/>
        </w:rPr>
        <w:fldChar w:fldCharType="separate"/>
      </w:r>
      <w:r w:rsidR="00FE3500" w:rsidRPr="00D1374E">
        <w:rPr>
          <w:sz w:val="18"/>
          <w:szCs w:val="18"/>
        </w:rPr>
        <w:t>18</w:t>
      </w:r>
      <w:r w:rsidR="00FE3500" w:rsidRPr="00D1374E">
        <w:rPr>
          <w:sz w:val="18"/>
          <w:szCs w:val="18"/>
        </w:rPr>
        <w:fldChar w:fldCharType="end"/>
      </w:r>
      <w:r w:rsidR="009F1D05" w:rsidRPr="00D1374E">
        <w:rPr>
          <w:sz w:val="18"/>
          <w:szCs w:val="18"/>
        </w:rPr>
        <w:t>.</w:t>
      </w:r>
      <w:r w:rsidR="00F9453D" w:rsidRPr="00D1374E">
        <w:rPr>
          <w:sz w:val="18"/>
          <w:szCs w:val="18"/>
        </w:rPr>
        <w:t xml:space="preserve"> </w:t>
      </w:r>
      <w:r w:rsidR="00E50C04" w:rsidRPr="00D1374E">
        <w:rPr>
          <w:sz w:val="18"/>
          <w:szCs w:val="18"/>
        </w:rPr>
        <w:t xml:space="preserve">  </w:t>
      </w:r>
    </w:p>
  </w:footnote>
  <w:footnote w:id="12">
    <w:p w14:paraId="6C57751D" w14:textId="48A39A76"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w:t>
      </w:r>
      <w:r w:rsidRPr="00A77A00">
        <w:rPr>
          <w:rFonts w:ascii="Times New Roman" w:eastAsia="Arial Unicode MS" w:hAnsi="Times New Roman" w:cs="Times New Roman"/>
          <w:smallCaps/>
          <w:sz w:val="18"/>
          <w:szCs w:val="18"/>
        </w:rPr>
        <w:t>N.Y. Exec. Law</w:t>
      </w:r>
      <w:r w:rsidRPr="00D1374E">
        <w:rPr>
          <w:rFonts w:ascii="Times New Roman" w:eastAsia="Arial Unicode MS" w:hAnsi="Times New Roman" w:cs="Times New Roman"/>
          <w:sz w:val="18"/>
          <w:szCs w:val="18"/>
        </w:rPr>
        <w:t xml:space="preserve"> </w:t>
      </w:r>
      <w:r w:rsidR="007D2326"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296(16)</w:t>
      </w:r>
      <w:r w:rsidR="003D543F">
        <w:rPr>
          <w:rFonts w:ascii="Times New Roman" w:eastAsia="Arial Unicode MS" w:hAnsi="Times New Roman" w:cs="Times New Roman"/>
          <w:sz w:val="18"/>
          <w:szCs w:val="18"/>
        </w:rPr>
        <w:t xml:space="preserve"> (2019)</w:t>
      </w:r>
      <w:r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i/>
          <w:sz w:val="18"/>
          <w:szCs w:val="18"/>
        </w:rPr>
        <w:t>see also</w:t>
      </w:r>
      <w:r w:rsidRPr="00D1374E">
        <w:rPr>
          <w:rFonts w:ascii="Times New Roman" w:eastAsia="Arial Unicode MS" w:hAnsi="Times New Roman" w:cs="Times New Roman"/>
          <w:sz w:val="18"/>
          <w:szCs w:val="18"/>
        </w:rPr>
        <w:t xml:space="preserve"> </w:t>
      </w:r>
      <w:r w:rsidRPr="00A77A00">
        <w:rPr>
          <w:rFonts w:ascii="Times New Roman" w:eastAsia="Arial Unicode MS" w:hAnsi="Times New Roman" w:cs="Times New Roman"/>
          <w:smallCaps/>
          <w:sz w:val="18"/>
          <w:szCs w:val="18"/>
        </w:rPr>
        <w:t>N.Y.C. Admin. Code</w:t>
      </w:r>
      <w:r w:rsidRPr="00D1374E">
        <w:rPr>
          <w:rFonts w:ascii="Times New Roman" w:eastAsia="Arial Unicode MS" w:hAnsi="Times New Roman" w:cs="Times New Roman"/>
          <w:sz w:val="18"/>
          <w:szCs w:val="18"/>
        </w:rPr>
        <w:t xml:space="preserve"> </w:t>
      </w:r>
      <w:r w:rsidR="007D2326"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8-107(11)</w:t>
      </w:r>
      <w:r w:rsidR="003D543F">
        <w:rPr>
          <w:rFonts w:ascii="Times New Roman" w:eastAsia="Arial Unicode MS" w:hAnsi="Times New Roman" w:cs="Times New Roman"/>
          <w:sz w:val="18"/>
          <w:szCs w:val="18"/>
        </w:rPr>
        <w:t xml:space="preserve"> (2020)</w:t>
      </w:r>
      <w:r w:rsidR="00A25C39" w:rsidRPr="00D1374E">
        <w:rPr>
          <w:rFonts w:ascii="Times New Roman" w:eastAsia="Arial Unicode MS" w:hAnsi="Times New Roman" w:cs="Times New Roman"/>
          <w:sz w:val="18"/>
          <w:szCs w:val="18"/>
        </w:rPr>
        <w:t xml:space="preserve"> (incorporating </w:t>
      </w:r>
      <w:r w:rsidR="00473351" w:rsidRPr="00D1374E">
        <w:rPr>
          <w:rFonts w:ascii="Times New Roman" w:eastAsia="Arial Unicode MS" w:hAnsi="Times New Roman" w:cs="Times New Roman"/>
          <w:sz w:val="18"/>
          <w:szCs w:val="18"/>
        </w:rPr>
        <w:t>section 296(16) of the e</w:t>
      </w:r>
      <w:r w:rsidR="00A25C39" w:rsidRPr="00D1374E">
        <w:rPr>
          <w:rFonts w:ascii="Times New Roman" w:eastAsia="Arial Unicode MS" w:hAnsi="Times New Roman" w:cs="Times New Roman"/>
          <w:sz w:val="18"/>
          <w:szCs w:val="18"/>
        </w:rPr>
        <w:t xml:space="preserve">xecutive </w:t>
      </w:r>
      <w:r w:rsidR="00473351" w:rsidRPr="00D1374E">
        <w:rPr>
          <w:rFonts w:ascii="Times New Roman" w:eastAsia="Arial Unicode MS" w:hAnsi="Times New Roman" w:cs="Times New Roman"/>
          <w:sz w:val="18"/>
          <w:szCs w:val="18"/>
        </w:rPr>
        <w:t>l</w:t>
      </w:r>
      <w:r w:rsidR="00A25C39" w:rsidRPr="00D1374E">
        <w:rPr>
          <w:rFonts w:ascii="Times New Roman" w:eastAsia="Arial Unicode MS" w:hAnsi="Times New Roman" w:cs="Times New Roman"/>
          <w:sz w:val="18"/>
          <w:szCs w:val="18"/>
        </w:rPr>
        <w:t xml:space="preserve">aw into the city </w:t>
      </w:r>
      <w:r w:rsidR="00473351" w:rsidRPr="00D1374E">
        <w:rPr>
          <w:rFonts w:ascii="Times New Roman" w:eastAsia="Arial Unicode MS" w:hAnsi="Times New Roman" w:cs="Times New Roman"/>
          <w:sz w:val="18"/>
          <w:szCs w:val="18"/>
        </w:rPr>
        <w:t xml:space="preserve">human rights </w:t>
      </w:r>
      <w:r w:rsidR="00A25C39" w:rsidRPr="00D1374E">
        <w:rPr>
          <w:rFonts w:ascii="Times New Roman" w:eastAsia="Arial Unicode MS" w:hAnsi="Times New Roman" w:cs="Times New Roman"/>
          <w:sz w:val="18"/>
          <w:szCs w:val="18"/>
        </w:rPr>
        <w:t>law)</w:t>
      </w:r>
      <w:r w:rsidRPr="00D1374E">
        <w:rPr>
          <w:rFonts w:ascii="Times New Roman" w:eastAsia="Arial Unicode MS" w:hAnsi="Times New Roman" w:cs="Times New Roman"/>
          <w:sz w:val="18"/>
          <w:szCs w:val="18"/>
        </w:rPr>
        <w:t>.</w:t>
      </w:r>
    </w:p>
  </w:footnote>
  <w:footnote w:id="13">
    <w:p w14:paraId="7234D47D" w14:textId="25A15BDA" w:rsidR="0095421B" w:rsidRPr="00D1374E" w:rsidRDefault="0095421B"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A25C39" w:rsidRPr="00A77A00">
        <w:rPr>
          <w:smallCaps/>
          <w:sz w:val="18"/>
          <w:szCs w:val="18"/>
        </w:rPr>
        <w:t>N.Y. Corre</w:t>
      </w:r>
      <w:bookmarkStart w:id="1" w:name="_GoBack"/>
      <w:bookmarkEnd w:id="1"/>
      <w:r w:rsidR="00A25C39" w:rsidRPr="00A77A00">
        <w:rPr>
          <w:smallCaps/>
          <w:sz w:val="18"/>
          <w:szCs w:val="18"/>
        </w:rPr>
        <w:t xml:space="preserve">ct. Law </w:t>
      </w:r>
      <w:r w:rsidR="00A25C39" w:rsidRPr="00D1374E">
        <w:rPr>
          <w:sz w:val="18"/>
          <w:szCs w:val="18"/>
        </w:rPr>
        <w:t>§ 752</w:t>
      </w:r>
      <w:r w:rsidR="003D543F">
        <w:rPr>
          <w:sz w:val="18"/>
          <w:szCs w:val="18"/>
        </w:rPr>
        <w:t xml:space="preserve"> (2007)</w:t>
      </w:r>
      <w:r w:rsidR="00A25C39" w:rsidRPr="00D1374E">
        <w:rPr>
          <w:sz w:val="18"/>
          <w:szCs w:val="18"/>
        </w:rPr>
        <w:t>.</w:t>
      </w:r>
    </w:p>
  </w:footnote>
  <w:footnote w:id="14">
    <w:p w14:paraId="6FC8C275" w14:textId="47697443"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w:t>
      </w:r>
      <w:r w:rsidRPr="00A77A00">
        <w:rPr>
          <w:rFonts w:ascii="Times New Roman" w:eastAsia="Arial Unicode MS" w:hAnsi="Times New Roman" w:cs="Times New Roman"/>
          <w:smallCaps/>
          <w:sz w:val="18"/>
          <w:szCs w:val="18"/>
        </w:rPr>
        <w:t>N.Y. Correct. Law</w:t>
      </w:r>
      <w:r w:rsidRPr="00D1374E">
        <w:rPr>
          <w:rFonts w:ascii="Times New Roman" w:eastAsia="Arial Unicode MS" w:hAnsi="Times New Roman" w:cs="Times New Roman"/>
          <w:sz w:val="18"/>
          <w:szCs w:val="18"/>
        </w:rPr>
        <w:t xml:space="preserve"> </w:t>
      </w:r>
      <w:r w:rsidR="007D2326"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75</w:t>
      </w:r>
      <w:r w:rsidR="00A25C39" w:rsidRPr="00D1374E">
        <w:rPr>
          <w:rFonts w:ascii="Times New Roman" w:eastAsia="Arial Unicode MS" w:hAnsi="Times New Roman" w:cs="Times New Roman"/>
          <w:sz w:val="18"/>
          <w:szCs w:val="18"/>
        </w:rPr>
        <w:t>3</w:t>
      </w:r>
      <w:r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i/>
          <w:sz w:val="18"/>
          <w:szCs w:val="18"/>
        </w:rPr>
        <w:t>see also</w:t>
      </w:r>
      <w:r w:rsidRPr="00D1374E">
        <w:rPr>
          <w:rFonts w:ascii="Times New Roman" w:eastAsia="Arial Unicode MS" w:hAnsi="Times New Roman" w:cs="Times New Roman"/>
          <w:sz w:val="18"/>
          <w:szCs w:val="18"/>
        </w:rPr>
        <w:t xml:space="preserve"> N.Y. Exec. Law </w:t>
      </w:r>
      <w:r w:rsidR="007D2326"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296(15)</w:t>
      </w:r>
      <w:r w:rsidR="0058162A" w:rsidRPr="00D1374E">
        <w:rPr>
          <w:rFonts w:ascii="Times New Roman" w:eastAsia="Arial Unicode MS" w:hAnsi="Times New Roman" w:cs="Times New Roman"/>
          <w:sz w:val="18"/>
          <w:szCs w:val="18"/>
        </w:rPr>
        <w:t xml:space="preserve"> (incorporating </w:t>
      </w:r>
      <w:r w:rsidR="00473351" w:rsidRPr="00D1374E">
        <w:rPr>
          <w:rFonts w:ascii="Times New Roman" w:eastAsia="Arial Unicode MS" w:hAnsi="Times New Roman" w:cs="Times New Roman"/>
          <w:sz w:val="18"/>
          <w:szCs w:val="18"/>
        </w:rPr>
        <w:t xml:space="preserve">article 23-A of </w:t>
      </w:r>
      <w:r w:rsidR="0058162A" w:rsidRPr="00D1374E">
        <w:rPr>
          <w:rFonts w:ascii="Times New Roman" w:eastAsia="Arial Unicode MS" w:hAnsi="Times New Roman" w:cs="Times New Roman"/>
          <w:sz w:val="18"/>
          <w:szCs w:val="18"/>
        </w:rPr>
        <w:t>the correction law)</w:t>
      </w:r>
      <w:r w:rsidRPr="00D1374E">
        <w:rPr>
          <w:rFonts w:ascii="Times New Roman" w:eastAsia="Arial Unicode MS" w:hAnsi="Times New Roman" w:cs="Times New Roman"/>
          <w:sz w:val="18"/>
          <w:szCs w:val="18"/>
        </w:rPr>
        <w:t xml:space="preserve">; N.Y.C. Admin. Code </w:t>
      </w:r>
      <w:r w:rsidR="007D2326"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8-107(10)</w:t>
      </w:r>
      <w:r w:rsidR="0058162A" w:rsidRPr="00D1374E">
        <w:rPr>
          <w:rFonts w:ascii="Times New Roman" w:eastAsia="Arial Unicode MS" w:hAnsi="Times New Roman" w:cs="Times New Roman"/>
          <w:sz w:val="18"/>
          <w:szCs w:val="18"/>
        </w:rPr>
        <w:t xml:space="preserve"> (same)</w:t>
      </w:r>
      <w:r w:rsidRPr="00D1374E">
        <w:rPr>
          <w:rFonts w:ascii="Times New Roman" w:eastAsia="Arial Unicode MS" w:hAnsi="Times New Roman" w:cs="Times New Roman"/>
          <w:sz w:val="18"/>
          <w:szCs w:val="18"/>
        </w:rPr>
        <w:t xml:space="preserve">. </w:t>
      </w:r>
    </w:p>
  </w:footnote>
  <w:footnote w:id="15">
    <w:p w14:paraId="03D8F6DF" w14:textId="339E0E8D" w:rsidR="0095421B" w:rsidRPr="00D1374E" w:rsidRDefault="0095421B" w:rsidP="00D1374E">
      <w:pPr>
        <w:pStyle w:val="FootnoteText"/>
        <w:ind w:firstLine="180"/>
        <w:jc w:val="both"/>
        <w:rPr>
          <w:sz w:val="18"/>
          <w:szCs w:val="18"/>
        </w:rPr>
      </w:pPr>
      <w:r w:rsidRPr="00D1374E">
        <w:rPr>
          <w:rStyle w:val="FootnoteReference"/>
          <w:sz w:val="18"/>
          <w:szCs w:val="18"/>
        </w:rPr>
        <w:footnoteRef/>
      </w:r>
      <w:r w:rsidRPr="00A77A00">
        <w:rPr>
          <w:smallCaps/>
          <w:sz w:val="18"/>
          <w:szCs w:val="18"/>
        </w:rPr>
        <w:t xml:space="preserve"> </w:t>
      </w:r>
      <w:r w:rsidR="001A12FC" w:rsidRPr="00A77A00">
        <w:rPr>
          <w:smallCaps/>
          <w:sz w:val="18"/>
          <w:szCs w:val="18"/>
        </w:rPr>
        <w:t xml:space="preserve">N.Y.C. Admin. Code </w:t>
      </w:r>
      <w:r w:rsidR="001A12FC" w:rsidRPr="00D1374E">
        <w:rPr>
          <w:sz w:val="18"/>
          <w:szCs w:val="18"/>
        </w:rPr>
        <w:t>§ 8-107(11-a)</w:t>
      </w:r>
      <w:r w:rsidR="0082646A" w:rsidRPr="00D1374E">
        <w:rPr>
          <w:sz w:val="18"/>
          <w:szCs w:val="18"/>
        </w:rPr>
        <w:t>(a)</w:t>
      </w:r>
      <w:r w:rsidR="001A12FC" w:rsidRPr="00D1374E">
        <w:rPr>
          <w:sz w:val="18"/>
          <w:szCs w:val="18"/>
        </w:rPr>
        <w:t>(</w:t>
      </w:r>
      <w:r w:rsidR="0082646A" w:rsidRPr="00D1374E">
        <w:rPr>
          <w:sz w:val="18"/>
          <w:szCs w:val="18"/>
        </w:rPr>
        <w:t>2</w:t>
      </w:r>
      <w:r w:rsidR="001A12FC" w:rsidRPr="00D1374E">
        <w:rPr>
          <w:sz w:val="18"/>
          <w:szCs w:val="18"/>
        </w:rPr>
        <w:t>).</w:t>
      </w:r>
    </w:p>
  </w:footnote>
  <w:footnote w:id="16">
    <w:p w14:paraId="1948177C" w14:textId="5A6DF812" w:rsidR="001A12FC" w:rsidRPr="00D1374E" w:rsidRDefault="001A12FC"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Pr="00D1374E">
        <w:rPr>
          <w:i/>
          <w:sz w:val="18"/>
          <w:szCs w:val="18"/>
        </w:rPr>
        <w:t>Id.</w:t>
      </w:r>
      <w:r w:rsidRPr="00D1374E">
        <w:rPr>
          <w:sz w:val="18"/>
          <w:szCs w:val="18"/>
        </w:rPr>
        <w:t xml:space="preserve"> at § 8-107 (11-a)(b)(ii).</w:t>
      </w:r>
    </w:p>
  </w:footnote>
  <w:footnote w:id="17">
    <w:p w14:paraId="10CFD323" w14:textId="7BD46386" w:rsidR="006B631D" w:rsidRPr="00D1374E" w:rsidRDefault="006B631D"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1A12FC" w:rsidRPr="00D1374E">
        <w:rPr>
          <w:i/>
          <w:sz w:val="18"/>
          <w:szCs w:val="18"/>
        </w:rPr>
        <w:t>Id.</w:t>
      </w:r>
      <w:r w:rsidR="001A12FC" w:rsidRPr="00D1374E">
        <w:rPr>
          <w:sz w:val="18"/>
          <w:szCs w:val="18"/>
        </w:rPr>
        <w:t xml:space="preserve"> at §§ 8-107(11-a)(b)(</w:t>
      </w:r>
      <w:proofErr w:type="spellStart"/>
      <w:r w:rsidR="001A12FC" w:rsidRPr="00D1374E">
        <w:rPr>
          <w:sz w:val="18"/>
          <w:szCs w:val="18"/>
        </w:rPr>
        <w:t>i</w:t>
      </w:r>
      <w:proofErr w:type="spellEnd"/>
      <w:r w:rsidR="001A12FC" w:rsidRPr="00D1374E">
        <w:rPr>
          <w:sz w:val="18"/>
          <w:szCs w:val="18"/>
        </w:rPr>
        <w:t xml:space="preserve">), (ii). To see a copy of the Fair Chance Act notice, visit </w:t>
      </w:r>
      <w:r w:rsidR="001A12FC" w:rsidRPr="00D1374E">
        <w:rPr>
          <w:i/>
          <w:sz w:val="18"/>
          <w:szCs w:val="18"/>
        </w:rPr>
        <w:t xml:space="preserve">Fair Change Act </w:t>
      </w:r>
      <w:r w:rsidR="008E35CA" w:rsidRPr="00D1374E">
        <w:rPr>
          <w:i/>
          <w:sz w:val="18"/>
          <w:szCs w:val="18"/>
        </w:rPr>
        <w:t>Notice</w:t>
      </w:r>
      <w:r w:rsidR="001A12FC" w:rsidRPr="00D1374E">
        <w:rPr>
          <w:sz w:val="18"/>
          <w:szCs w:val="18"/>
        </w:rPr>
        <w:t xml:space="preserve">, </w:t>
      </w:r>
      <w:r w:rsidR="001A12FC" w:rsidRPr="00D1374E">
        <w:rPr>
          <w:smallCaps/>
          <w:sz w:val="18"/>
          <w:szCs w:val="18"/>
        </w:rPr>
        <w:t>N</w:t>
      </w:r>
      <w:r w:rsidR="008E35CA" w:rsidRPr="00D1374E">
        <w:rPr>
          <w:smallCaps/>
          <w:sz w:val="18"/>
          <w:szCs w:val="18"/>
        </w:rPr>
        <w:t>.</w:t>
      </w:r>
      <w:r w:rsidR="001A12FC" w:rsidRPr="00D1374E">
        <w:rPr>
          <w:smallCaps/>
          <w:sz w:val="18"/>
          <w:szCs w:val="18"/>
        </w:rPr>
        <w:t>Y</w:t>
      </w:r>
      <w:r w:rsidR="008E35CA" w:rsidRPr="00D1374E">
        <w:rPr>
          <w:smallCaps/>
          <w:sz w:val="18"/>
          <w:szCs w:val="18"/>
        </w:rPr>
        <w:t>.</w:t>
      </w:r>
      <w:r w:rsidR="001A12FC" w:rsidRPr="00D1374E">
        <w:rPr>
          <w:smallCaps/>
          <w:sz w:val="18"/>
          <w:szCs w:val="18"/>
        </w:rPr>
        <w:t>C</w:t>
      </w:r>
      <w:r w:rsidR="008E35CA" w:rsidRPr="00D1374E">
        <w:rPr>
          <w:smallCaps/>
          <w:sz w:val="18"/>
          <w:szCs w:val="18"/>
        </w:rPr>
        <w:t>.</w:t>
      </w:r>
      <w:r w:rsidR="001A12FC" w:rsidRPr="00D1374E">
        <w:rPr>
          <w:smallCaps/>
          <w:sz w:val="18"/>
          <w:szCs w:val="18"/>
        </w:rPr>
        <w:t xml:space="preserve"> Comm</w:t>
      </w:r>
      <w:r w:rsidR="008E35CA" w:rsidRPr="00D1374E">
        <w:rPr>
          <w:smallCaps/>
          <w:sz w:val="18"/>
          <w:szCs w:val="18"/>
        </w:rPr>
        <w:t>’n on Human Rights</w:t>
      </w:r>
      <w:r w:rsidR="008E35CA" w:rsidRPr="00D1374E">
        <w:rPr>
          <w:sz w:val="18"/>
          <w:szCs w:val="18"/>
        </w:rPr>
        <w:t xml:space="preserve">, https://www1.nyc.gov/assets/cchr/downloads/pdf/FairChance_Form23-A_distributed.pdf [https://perma.cc/FEU8-7TKN] (last visited March 6, 2020). </w:t>
      </w:r>
    </w:p>
  </w:footnote>
  <w:footnote w:id="18">
    <w:p w14:paraId="20A4B724" w14:textId="4B2B41A4" w:rsidR="005D6A6C" w:rsidRPr="00D1374E" w:rsidRDefault="005D6A6C"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Pr="00A77A00">
        <w:rPr>
          <w:smallCaps/>
          <w:sz w:val="18"/>
          <w:szCs w:val="18"/>
        </w:rPr>
        <w:t>N.Y.C. Admin. Code</w:t>
      </w:r>
      <w:r w:rsidRPr="00D1374E">
        <w:rPr>
          <w:sz w:val="18"/>
          <w:szCs w:val="18"/>
        </w:rPr>
        <w:t xml:space="preserve"> § 8-107(11-a)</w:t>
      </w:r>
      <w:r w:rsidR="00717FF9" w:rsidRPr="00D1374E">
        <w:rPr>
          <w:sz w:val="18"/>
          <w:szCs w:val="18"/>
        </w:rPr>
        <w:t>(b)(iii)</w:t>
      </w:r>
      <w:r w:rsidR="003D543F">
        <w:rPr>
          <w:sz w:val="18"/>
          <w:szCs w:val="18"/>
        </w:rPr>
        <w:t xml:space="preserve"> (2020)</w:t>
      </w:r>
      <w:r w:rsidR="00717FF9" w:rsidRPr="00D1374E">
        <w:rPr>
          <w:sz w:val="18"/>
          <w:szCs w:val="18"/>
        </w:rPr>
        <w:t>.</w:t>
      </w:r>
    </w:p>
  </w:footnote>
  <w:footnote w:id="19">
    <w:p w14:paraId="0FE39AFE" w14:textId="26A617B3" w:rsidR="007D4D71" w:rsidRPr="00D1374E" w:rsidRDefault="004452CA" w:rsidP="00D1374E">
      <w:pPr>
        <w:pStyle w:val="Footnote"/>
        <w:ind w:firstLine="180"/>
        <w:jc w:val="both"/>
        <w:rPr>
          <w:rFonts w:ascii="Times New Roman" w:hAnsi="Times New Roman" w:cs="Times New Roman"/>
          <w:sz w:val="18"/>
          <w:szCs w:val="18"/>
        </w:rPr>
      </w:pPr>
      <w:r w:rsidRPr="003D543F">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w:t>
      </w:r>
      <w:r w:rsidR="00717FF9" w:rsidRPr="00D1374E">
        <w:rPr>
          <w:rFonts w:ascii="Times New Roman" w:eastAsia="Arial Unicode MS" w:hAnsi="Times New Roman" w:cs="Times New Roman"/>
          <w:i/>
          <w:sz w:val="18"/>
          <w:szCs w:val="18"/>
        </w:rPr>
        <w:t>Id</w:t>
      </w:r>
      <w:r w:rsidR="00717FF9" w:rsidRPr="003D543F">
        <w:rPr>
          <w:rFonts w:ascii="Times New Roman" w:eastAsia="Arial Unicode MS" w:hAnsi="Times New Roman" w:cs="Times New Roman"/>
          <w:sz w:val="18"/>
          <w:szCs w:val="18"/>
        </w:rPr>
        <w:t>.</w:t>
      </w:r>
      <w:r w:rsidR="00717FF9" w:rsidRPr="00D1374E">
        <w:rPr>
          <w:rFonts w:ascii="Times New Roman" w:eastAsia="Arial Unicode MS" w:hAnsi="Times New Roman" w:cs="Times New Roman"/>
          <w:sz w:val="18"/>
          <w:szCs w:val="18"/>
        </w:rPr>
        <w:t xml:space="preserve"> at</w:t>
      </w:r>
      <w:r w:rsidRPr="00D1374E">
        <w:rPr>
          <w:rFonts w:ascii="Times New Roman" w:eastAsia="Arial Unicode MS" w:hAnsi="Times New Roman" w:cs="Times New Roman"/>
          <w:sz w:val="18"/>
          <w:szCs w:val="18"/>
        </w:rPr>
        <w:t xml:space="preserve"> </w:t>
      </w:r>
      <w:r w:rsidR="007D2326"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8-107(1</w:t>
      </w:r>
      <w:r w:rsidR="008E35CA" w:rsidRPr="00D1374E">
        <w:rPr>
          <w:rFonts w:ascii="Times New Roman" w:eastAsia="Arial Unicode MS" w:hAnsi="Times New Roman" w:cs="Times New Roman"/>
          <w:sz w:val="18"/>
          <w:szCs w:val="18"/>
        </w:rPr>
        <w:t>1-a</w:t>
      </w:r>
      <w:r w:rsidRPr="00D1374E">
        <w:rPr>
          <w:rFonts w:ascii="Times New Roman" w:eastAsia="Arial Unicode MS" w:hAnsi="Times New Roman" w:cs="Times New Roman"/>
          <w:sz w:val="18"/>
          <w:szCs w:val="18"/>
        </w:rPr>
        <w:t>)</w:t>
      </w:r>
      <w:r w:rsidR="008E35CA" w:rsidRPr="00D1374E">
        <w:rPr>
          <w:rFonts w:ascii="Times New Roman" w:eastAsia="Arial Unicode MS" w:hAnsi="Times New Roman" w:cs="Times New Roman"/>
          <w:sz w:val="18"/>
          <w:szCs w:val="18"/>
        </w:rPr>
        <w:t>(b)</w:t>
      </w:r>
      <w:r w:rsidRPr="00D1374E">
        <w:rPr>
          <w:rFonts w:ascii="Times New Roman" w:eastAsia="Arial Unicode MS" w:hAnsi="Times New Roman" w:cs="Times New Roman"/>
          <w:sz w:val="18"/>
          <w:szCs w:val="18"/>
        </w:rPr>
        <w:t>.</w:t>
      </w:r>
    </w:p>
  </w:footnote>
  <w:footnote w:id="20">
    <w:p w14:paraId="50FD7B35" w14:textId="19D496EA" w:rsidR="004903FE" w:rsidRPr="00D1374E" w:rsidRDefault="004903FE"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An employer </w:t>
      </w:r>
      <w:r w:rsidR="00232E6D" w:rsidRPr="00D1374E">
        <w:rPr>
          <w:sz w:val="18"/>
          <w:szCs w:val="18"/>
        </w:rPr>
        <w:t xml:space="preserve">in New York </w:t>
      </w:r>
      <w:r w:rsidRPr="00D1374E">
        <w:rPr>
          <w:sz w:val="18"/>
          <w:szCs w:val="18"/>
        </w:rPr>
        <w:t>might hire the worker</w:t>
      </w:r>
      <w:r w:rsidR="005C23CC" w:rsidRPr="00D1374E">
        <w:rPr>
          <w:sz w:val="18"/>
          <w:szCs w:val="18"/>
        </w:rPr>
        <w:t xml:space="preserve"> after reviewing the accomplishment packet</w:t>
      </w:r>
      <w:r w:rsidRPr="00D1374E">
        <w:rPr>
          <w:sz w:val="18"/>
          <w:szCs w:val="18"/>
        </w:rPr>
        <w:t xml:space="preserve"> because (1) the worker has persuaded the employer that they would be an excellent employee and they do not pose a serious risk to the employer</w:t>
      </w:r>
      <w:r w:rsidR="00A85AD5" w:rsidRPr="00D1374E">
        <w:rPr>
          <w:sz w:val="18"/>
          <w:szCs w:val="18"/>
        </w:rPr>
        <w:t>,</w:t>
      </w:r>
      <w:r w:rsidRPr="00D1374E">
        <w:rPr>
          <w:sz w:val="18"/>
          <w:szCs w:val="18"/>
        </w:rPr>
        <w:t xml:space="preserve"> </w:t>
      </w:r>
      <w:r w:rsidR="00A85AD5" w:rsidRPr="00D1374E">
        <w:rPr>
          <w:sz w:val="18"/>
          <w:szCs w:val="18"/>
        </w:rPr>
        <w:t>and/</w:t>
      </w:r>
      <w:r w:rsidR="00232E6D" w:rsidRPr="00D1374E">
        <w:rPr>
          <w:sz w:val="18"/>
          <w:szCs w:val="18"/>
        </w:rPr>
        <w:t xml:space="preserve">or </w:t>
      </w:r>
      <w:r w:rsidRPr="00D1374E">
        <w:rPr>
          <w:sz w:val="18"/>
          <w:szCs w:val="18"/>
        </w:rPr>
        <w:t xml:space="preserve">(2) the employer </w:t>
      </w:r>
      <w:r w:rsidR="00232E6D" w:rsidRPr="00D1374E">
        <w:rPr>
          <w:sz w:val="18"/>
          <w:szCs w:val="18"/>
        </w:rPr>
        <w:t xml:space="preserve">is concerned that the worker </w:t>
      </w:r>
      <w:r w:rsidR="005C23CC" w:rsidRPr="00D1374E">
        <w:rPr>
          <w:sz w:val="18"/>
          <w:szCs w:val="18"/>
        </w:rPr>
        <w:t xml:space="preserve">will have a valid and litigable discrimination claim if the employer does not hire them. Based on my experience speaking to employers and attorneys, I believe that employers are more motivated by the fear of antidiscrimination litigation </w:t>
      </w:r>
      <w:r w:rsidR="009102A0" w:rsidRPr="00D1374E">
        <w:rPr>
          <w:sz w:val="18"/>
          <w:szCs w:val="18"/>
        </w:rPr>
        <w:t xml:space="preserve">and negligent hiring litigation </w:t>
      </w:r>
      <w:r w:rsidR="005C23CC" w:rsidRPr="00D1374E">
        <w:rPr>
          <w:sz w:val="18"/>
          <w:szCs w:val="18"/>
        </w:rPr>
        <w:t>than by a reasonable assessment of the worker’s qualifications and riskiness. For this reason, accomplis</w:t>
      </w:r>
      <w:r w:rsidR="00B35734" w:rsidRPr="00D1374E">
        <w:rPr>
          <w:sz w:val="18"/>
          <w:szCs w:val="18"/>
        </w:rPr>
        <w:t>hment packets are most</w:t>
      </w:r>
      <w:r w:rsidR="005C23CC" w:rsidRPr="00D1374E">
        <w:rPr>
          <w:sz w:val="18"/>
          <w:szCs w:val="18"/>
        </w:rPr>
        <w:t xml:space="preserve"> useful in jurisdictions with strong antidiscrimination </w:t>
      </w:r>
      <w:r w:rsidR="00B35734" w:rsidRPr="00D1374E">
        <w:rPr>
          <w:sz w:val="18"/>
          <w:szCs w:val="18"/>
        </w:rPr>
        <w:t>protections</w:t>
      </w:r>
      <w:r w:rsidR="005C23CC" w:rsidRPr="00D1374E">
        <w:rPr>
          <w:sz w:val="18"/>
          <w:szCs w:val="18"/>
        </w:rPr>
        <w:t xml:space="preserve"> for people with criminal records. Nevertheless, because some employers </w:t>
      </w:r>
      <w:r w:rsidR="009102A0" w:rsidRPr="00D1374E">
        <w:rPr>
          <w:sz w:val="18"/>
          <w:szCs w:val="18"/>
        </w:rPr>
        <w:t xml:space="preserve">do genuinely seek to </w:t>
      </w:r>
      <w:r w:rsidR="00B35734" w:rsidRPr="00D1374E">
        <w:rPr>
          <w:sz w:val="18"/>
          <w:szCs w:val="18"/>
        </w:rPr>
        <w:t>assess</w:t>
      </w:r>
      <w:r w:rsidR="009102A0" w:rsidRPr="00D1374E">
        <w:rPr>
          <w:sz w:val="18"/>
          <w:szCs w:val="18"/>
        </w:rPr>
        <w:t xml:space="preserve"> whether the worker will pose a serious risk, accomplishment packets can be useful even in jurisdictions with weak antidiscrimination protections. </w:t>
      </w:r>
    </w:p>
  </w:footnote>
  <w:footnote w:id="21">
    <w:p w14:paraId="6667F06B" w14:textId="48D5CC46" w:rsidR="00F7443E" w:rsidRPr="00D1374E" w:rsidRDefault="00F7443E"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D32C79" w:rsidRPr="00D1374E">
        <w:rPr>
          <w:sz w:val="18"/>
          <w:szCs w:val="18"/>
        </w:rPr>
        <w:t>Alternatively, o</w:t>
      </w:r>
      <w:r w:rsidR="00F742D1" w:rsidRPr="00D1374E">
        <w:rPr>
          <w:sz w:val="18"/>
          <w:szCs w:val="18"/>
        </w:rPr>
        <w:t xml:space="preserve">rganizations seeking to create similar clinics </w:t>
      </w:r>
      <w:r w:rsidR="00D93FE2" w:rsidRPr="00D1374E">
        <w:rPr>
          <w:sz w:val="18"/>
          <w:szCs w:val="18"/>
        </w:rPr>
        <w:t xml:space="preserve">could </w:t>
      </w:r>
      <w:r w:rsidR="00F742D1" w:rsidRPr="00D1374E">
        <w:rPr>
          <w:sz w:val="18"/>
          <w:szCs w:val="18"/>
        </w:rPr>
        <w:t xml:space="preserve">partner with local law schools. </w:t>
      </w:r>
    </w:p>
  </w:footnote>
  <w:footnote w:id="22">
    <w:p w14:paraId="3705D30E" w14:textId="0C80C732" w:rsidR="008E35CA" w:rsidRPr="00D1374E" w:rsidRDefault="008E35CA"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73258C" w:rsidRPr="00D1374E">
        <w:rPr>
          <w:i/>
          <w:sz w:val="18"/>
          <w:szCs w:val="18"/>
        </w:rPr>
        <w:t>What You Need to Know About Background Checks</w:t>
      </w:r>
      <w:r w:rsidR="0073258C" w:rsidRPr="00D1374E">
        <w:rPr>
          <w:sz w:val="18"/>
          <w:szCs w:val="18"/>
        </w:rPr>
        <w:t xml:space="preserve">, </w:t>
      </w:r>
      <w:r w:rsidR="0073258C" w:rsidRPr="00D1374E">
        <w:rPr>
          <w:smallCaps/>
          <w:sz w:val="18"/>
          <w:szCs w:val="18"/>
        </w:rPr>
        <w:t>Legal Aid Soc’y</w:t>
      </w:r>
      <w:r w:rsidR="0073258C" w:rsidRPr="00D1374E">
        <w:rPr>
          <w:sz w:val="18"/>
          <w:szCs w:val="18"/>
        </w:rPr>
        <w:t>, https://www.legalaidnyc.org/get-help/employment/what-you-need-to-know-about-background-checks/ [https://perma.cc/2R3F-X9X2] (last visited Mar</w:t>
      </w:r>
      <w:r w:rsidR="00D51BCF">
        <w:rPr>
          <w:sz w:val="18"/>
          <w:szCs w:val="18"/>
        </w:rPr>
        <w:t>.</w:t>
      </w:r>
      <w:r w:rsidR="0073258C" w:rsidRPr="00D1374E">
        <w:rPr>
          <w:sz w:val="18"/>
          <w:szCs w:val="18"/>
        </w:rPr>
        <w:t xml:space="preserve"> 6, 2020); </w:t>
      </w:r>
      <w:r w:rsidR="0073258C" w:rsidRPr="00D1374E">
        <w:rPr>
          <w:i/>
          <w:sz w:val="18"/>
          <w:szCs w:val="18"/>
        </w:rPr>
        <w:t>What You Need to Know About Certificates of Relief from Disabilities and Certificates of Good Conduct</w:t>
      </w:r>
      <w:r w:rsidR="0073258C" w:rsidRPr="00D1374E">
        <w:rPr>
          <w:sz w:val="18"/>
          <w:szCs w:val="18"/>
        </w:rPr>
        <w:t xml:space="preserve">, </w:t>
      </w:r>
      <w:r w:rsidR="0073258C" w:rsidRPr="00D1374E">
        <w:rPr>
          <w:smallCaps/>
          <w:sz w:val="18"/>
          <w:szCs w:val="18"/>
        </w:rPr>
        <w:t>Legal Aid Soc’y</w:t>
      </w:r>
      <w:r w:rsidR="0073258C" w:rsidRPr="00D1374E">
        <w:rPr>
          <w:sz w:val="18"/>
          <w:szCs w:val="18"/>
        </w:rPr>
        <w:t>, https://www.legalaidnyc.org/get-help/employment/what-you-need-to-know-about-certificates-of-relief-and-good-conduct/ [https://perma.cc/74ST-RF74] (last visited Mar</w:t>
      </w:r>
      <w:r w:rsidR="00D51BCF">
        <w:rPr>
          <w:sz w:val="18"/>
          <w:szCs w:val="18"/>
        </w:rPr>
        <w:t>.</w:t>
      </w:r>
      <w:r w:rsidR="0073258C" w:rsidRPr="00D1374E">
        <w:rPr>
          <w:sz w:val="18"/>
          <w:szCs w:val="18"/>
        </w:rPr>
        <w:t xml:space="preserve"> 6, 2020);</w:t>
      </w:r>
      <w:r w:rsidR="0073258C" w:rsidRPr="00D1374E">
        <w:rPr>
          <w:i/>
          <w:sz w:val="18"/>
          <w:szCs w:val="18"/>
        </w:rPr>
        <w:t xml:space="preserve"> </w:t>
      </w:r>
      <w:r w:rsidRPr="00D1374E">
        <w:rPr>
          <w:i/>
          <w:sz w:val="18"/>
          <w:szCs w:val="18"/>
        </w:rPr>
        <w:t>What You Need to Know About Discrimination Based on Arrest and Conviction Records</w:t>
      </w:r>
      <w:r w:rsidRPr="00D1374E">
        <w:rPr>
          <w:sz w:val="18"/>
          <w:szCs w:val="18"/>
        </w:rPr>
        <w:t xml:space="preserve">, </w:t>
      </w:r>
      <w:r w:rsidRPr="00D1374E">
        <w:rPr>
          <w:smallCaps/>
          <w:sz w:val="18"/>
          <w:szCs w:val="18"/>
        </w:rPr>
        <w:t>Legal Aid Soc’y</w:t>
      </w:r>
      <w:r w:rsidRPr="00D1374E">
        <w:rPr>
          <w:sz w:val="18"/>
          <w:szCs w:val="18"/>
        </w:rPr>
        <w:t xml:space="preserve">, https://www.legalaidnyc.org/get-help/employment/what-you-need-to-know-about-discrimination-based-on-arrest-conviction-records/ [https://perma.cc/F7UQ-S4C5] (last visited </w:t>
      </w:r>
      <w:r w:rsidR="0073258C" w:rsidRPr="00D1374E">
        <w:rPr>
          <w:sz w:val="18"/>
          <w:szCs w:val="18"/>
        </w:rPr>
        <w:t>Mar</w:t>
      </w:r>
      <w:r w:rsidR="00D51BCF">
        <w:rPr>
          <w:sz w:val="18"/>
          <w:szCs w:val="18"/>
        </w:rPr>
        <w:t>.</w:t>
      </w:r>
      <w:r w:rsidR="0073258C" w:rsidRPr="00D1374E">
        <w:rPr>
          <w:sz w:val="18"/>
          <w:szCs w:val="18"/>
        </w:rPr>
        <w:t xml:space="preserve"> 6, 2020).</w:t>
      </w:r>
    </w:p>
  </w:footnote>
  <w:footnote w:id="23">
    <w:p w14:paraId="6EC9EEB8" w14:textId="209353B1"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002721C8" w:rsidRPr="00D1374E">
        <w:rPr>
          <w:rFonts w:ascii="Times New Roman" w:eastAsia="Arial Unicode MS" w:hAnsi="Times New Roman" w:cs="Times New Roman"/>
          <w:sz w:val="18"/>
          <w:szCs w:val="18"/>
          <w:lang w:val="it-IT"/>
        </w:rPr>
        <w:t xml:space="preserve"> </w:t>
      </w:r>
      <w:r w:rsidRPr="00D1374E">
        <w:rPr>
          <w:rFonts w:ascii="Times New Roman" w:eastAsia="Arial Unicode MS" w:hAnsi="Times New Roman" w:cs="Times New Roman"/>
          <w:sz w:val="18"/>
          <w:szCs w:val="18"/>
          <w:lang w:val="it-IT"/>
        </w:rPr>
        <w:t>Kimani Paul-Emile,</w:t>
      </w:r>
      <w:r w:rsidRPr="00D1374E">
        <w:rPr>
          <w:rFonts w:ascii="Times New Roman" w:eastAsia="Arial Unicode MS" w:hAnsi="Times New Roman" w:cs="Times New Roman"/>
          <w:sz w:val="18"/>
          <w:szCs w:val="18"/>
        </w:rPr>
        <w:t> </w:t>
      </w:r>
      <w:r w:rsidRPr="00D1374E">
        <w:rPr>
          <w:rFonts w:ascii="Times New Roman" w:eastAsia="Arial Unicode MS" w:hAnsi="Times New Roman" w:cs="Times New Roman"/>
          <w:i/>
          <w:sz w:val="18"/>
          <w:szCs w:val="18"/>
        </w:rPr>
        <w:t>Beyond Title VII: Rethinking Race, Ex-Offender Status, and Employment Discrimination in the Information Age</w:t>
      </w:r>
      <w:r w:rsidRPr="00D1374E">
        <w:rPr>
          <w:rFonts w:ascii="Times New Roman" w:eastAsia="Arial Unicode MS" w:hAnsi="Times New Roman" w:cs="Times New Roman"/>
          <w:sz w:val="18"/>
          <w:szCs w:val="18"/>
        </w:rPr>
        <w:t xml:space="preserve">, 100 </w:t>
      </w:r>
      <w:r w:rsidRPr="00D1374E">
        <w:rPr>
          <w:rFonts w:ascii="Times New Roman" w:eastAsia="Arial Unicode MS" w:hAnsi="Times New Roman" w:cs="Times New Roman"/>
          <w:smallCaps/>
          <w:sz w:val="18"/>
          <w:szCs w:val="18"/>
        </w:rPr>
        <w:t>Va. L. Rev.</w:t>
      </w:r>
      <w:r w:rsidR="00090E2F" w:rsidRPr="00D1374E">
        <w:rPr>
          <w:rFonts w:ascii="Times New Roman" w:eastAsia="Arial Unicode MS" w:hAnsi="Times New Roman" w:cs="Times New Roman"/>
          <w:sz w:val="18"/>
          <w:szCs w:val="18"/>
        </w:rPr>
        <w:t xml:space="preserve"> 893, 919</w:t>
      </w:r>
      <w:r w:rsidR="00995A0E" w:rsidRPr="00D1374E">
        <w:rPr>
          <w:rFonts w:ascii="Times New Roman" w:eastAsia="Arial Unicode MS" w:hAnsi="Times New Roman" w:cs="Times New Roman"/>
          <w:sz w:val="18"/>
          <w:szCs w:val="18"/>
        </w:rPr>
        <w:t>–</w:t>
      </w:r>
      <w:r w:rsidR="00090E2F" w:rsidRPr="00D1374E">
        <w:rPr>
          <w:rFonts w:ascii="Times New Roman" w:eastAsia="Arial Unicode MS" w:hAnsi="Times New Roman" w:cs="Times New Roman"/>
          <w:sz w:val="18"/>
          <w:szCs w:val="18"/>
        </w:rPr>
        <w:t>20 &amp; n</w:t>
      </w:r>
      <w:r w:rsidR="00FA01C2"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130</w:t>
      </w:r>
      <w:r w:rsidR="00FA01C2"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(2014).</w:t>
      </w:r>
    </w:p>
  </w:footnote>
  <w:footnote w:id="24">
    <w:p w14:paraId="53D8066C" w14:textId="33702BC5"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Data indicate th</w:t>
      </w:r>
      <w:r w:rsidR="008D6DEE" w:rsidRPr="00D1374E">
        <w:rPr>
          <w:rFonts w:ascii="Times New Roman" w:eastAsia="Arial Unicode MS" w:hAnsi="Times New Roman" w:cs="Times New Roman"/>
          <w:sz w:val="18"/>
          <w:szCs w:val="18"/>
        </w:rPr>
        <w:t>at</w:t>
      </w:r>
      <w:r w:rsidRPr="00D1374E">
        <w:rPr>
          <w:rFonts w:ascii="Times New Roman" w:eastAsia="Arial Unicode MS" w:hAnsi="Times New Roman" w:cs="Times New Roman"/>
          <w:sz w:val="18"/>
          <w:szCs w:val="18"/>
        </w:rPr>
        <w:t xml:space="preserve"> workers with conviction records are more successful employees than those without conviction records. </w:t>
      </w:r>
      <w:proofErr w:type="spellStart"/>
      <w:r w:rsidRPr="00D1374E">
        <w:rPr>
          <w:rFonts w:ascii="Times New Roman" w:eastAsia="Arial Unicode MS" w:hAnsi="Times New Roman" w:cs="Times New Roman"/>
          <w:smallCaps/>
          <w:sz w:val="18"/>
          <w:szCs w:val="18"/>
        </w:rPr>
        <w:t>Tr</w:t>
      </w:r>
      <w:r w:rsidR="009212A4" w:rsidRPr="00D1374E">
        <w:rPr>
          <w:rFonts w:ascii="Times New Roman" w:eastAsia="Arial Unicode MS" w:hAnsi="Times New Roman" w:cs="Times New Roman"/>
          <w:smallCaps/>
          <w:sz w:val="18"/>
          <w:szCs w:val="18"/>
        </w:rPr>
        <w:t>one</w:t>
      </w:r>
      <w:proofErr w:type="spellEnd"/>
      <w:r w:rsidR="009212A4" w:rsidRPr="00D1374E">
        <w:rPr>
          <w:rFonts w:ascii="Times New Roman" w:eastAsia="Arial Unicode MS" w:hAnsi="Times New Roman" w:cs="Times New Roman"/>
          <w:smallCaps/>
          <w:sz w:val="18"/>
          <w:szCs w:val="18"/>
        </w:rPr>
        <w:t xml:space="preserve"> Private Sector and Educ.</w:t>
      </w:r>
      <w:r w:rsidRPr="00D1374E">
        <w:rPr>
          <w:rFonts w:ascii="Times New Roman" w:eastAsia="Arial Unicode MS" w:hAnsi="Times New Roman" w:cs="Times New Roman"/>
          <w:smallCaps/>
          <w:sz w:val="18"/>
          <w:szCs w:val="18"/>
        </w:rPr>
        <w:t xml:space="preserve"> Advisory Council, Back to Business: How Hiring Formerly Incarcerated Job Seekers Benefits Your Company</w:t>
      </w:r>
      <w:r w:rsidRPr="00D1374E">
        <w:rPr>
          <w:rFonts w:ascii="Times New Roman" w:eastAsia="Arial Unicode MS" w:hAnsi="Times New Roman" w:cs="Times New Roman"/>
          <w:sz w:val="18"/>
          <w:szCs w:val="18"/>
        </w:rPr>
        <w:t xml:space="preserve"> 8</w:t>
      </w:r>
      <w:r w:rsidR="00995A0E" w:rsidRPr="00D1374E">
        <w:rPr>
          <w:rFonts w:ascii="Times New Roman" w:eastAsia="Arial Unicode MS" w:hAnsi="Times New Roman" w:cs="Times New Roman"/>
          <w:sz w:val="18"/>
          <w:szCs w:val="18"/>
        </w:rPr>
        <w:t>–</w:t>
      </w:r>
      <w:r w:rsidRPr="00D1374E">
        <w:rPr>
          <w:rFonts w:ascii="Times New Roman" w:eastAsia="Arial Unicode MS" w:hAnsi="Times New Roman" w:cs="Times New Roman"/>
          <w:sz w:val="18"/>
          <w:szCs w:val="18"/>
        </w:rPr>
        <w:t>11 (2017)</w:t>
      </w:r>
      <w:r w:rsidR="00FA01C2" w:rsidRPr="00D1374E">
        <w:rPr>
          <w:rFonts w:ascii="Times New Roman" w:eastAsia="Arial Unicode MS" w:hAnsi="Times New Roman" w:cs="Times New Roman"/>
          <w:sz w:val="18"/>
          <w:szCs w:val="18"/>
        </w:rPr>
        <w:t>.</w:t>
      </w:r>
      <w:r w:rsidRPr="00D1374E">
        <w:rPr>
          <w:rFonts w:ascii="Times New Roman" w:eastAsia="Arial Unicode MS" w:hAnsi="Times New Roman" w:cs="Times New Roman"/>
          <w:sz w:val="18"/>
          <w:szCs w:val="18"/>
        </w:rPr>
        <w:t xml:space="preserve"> And, New York law provides significant protection to employers who are sued because they hired someone with a conviction record. Specifically, if an employer reasonably considers the eight factors listed at Correction Law </w:t>
      </w:r>
      <w:r w:rsidR="008D6DEE" w:rsidRPr="00D1374E">
        <w:rPr>
          <w:rFonts w:ascii="Times New Roman" w:eastAsia="Arial Unicode MS" w:hAnsi="Times New Roman" w:cs="Times New Roman"/>
          <w:sz w:val="18"/>
          <w:szCs w:val="18"/>
        </w:rPr>
        <w:t xml:space="preserve">section </w:t>
      </w:r>
      <w:r w:rsidRPr="00D1374E">
        <w:rPr>
          <w:rFonts w:ascii="Times New Roman" w:eastAsia="Arial Unicode MS" w:hAnsi="Times New Roman" w:cs="Times New Roman"/>
          <w:sz w:val="18"/>
          <w:szCs w:val="18"/>
        </w:rPr>
        <w:t xml:space="preserve">753 and decides to hire or retain an employee with a conviction record, there is a rebuttable presumption in favor of excluding from evidence the employee’s conviction record in any negligent hiring or retention lawsuit. N.Y. Exec. Law </w:t>
      </w:r>
      <w:r w:rsidR="008B1258"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z w:val="18"/>
          <w:szCs w:val="18"/>
        </w:rPr>
        <w:t xml:space="preserve">296(15). </w:t>
      </w:r>
    </w:p>
  </w:footnote>
  <w:footnote w:id="25">
    <w:p w14:paraId="11750920" w14:textId="40DC0EEB" w:rsidR="00606DCE" w:rsidRPr="00D1374E" w:rsidRDefault="00606DCE"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056ADB" w:rsidRPr="00D1374E">
        <w:rPr>
          <w:sz w:val="18"/>
          <w:szCs w:val="18"/>
        </w:rPr>
        <w:t>When reviewing clients’ criminal records</w:t>
      </w:r>
      <w:r w:rsidRPr="00D1374E">
        <w:rPr>
          <w:sz w:val="18"/>
          <w:szCs w:val="18"/>
        </w:rPr>
        <w:t>, we determine whether</w:t>
      </w:r>
      <w:r w:rsidR="00056ADB" w:rsidRPr="00D1374E">
        <w:rPr>
          <w:sz w:val="18"/>
          <w:szCs w:val="18"/>
        </w:rPr>
        <w:t xml:space="preserve"> the clients can benefit from </w:t>
      </w:r>
      <w:r w:rsidRPr="00D1374E">
        <w:rPr>
          <w:sz w:val="18"/>
          <w:szCs w:val="18"/>
        </w:rPr>
        <w:t xml:space="preserve">New York’s criminal </w:t>
      </w:r>
      <w:r w:rsidR="00056ADB" w:rsidRPr="00D1374E">
        <w:rPr>
          <w:sz w:val="18"/>
          <w:szCs w:val="18"/>
        </w:rPr>
        <w:t>conviction</w:t>
      </w:r>
      <w:r w:rsidRPr="00D1374E">
        <w:rPr>
          <w:sz w:val="18"/>
          <w:szCs w:val="18"/>
        </w:rPr>
        <w:t xml:space="preserve"> sealing law, Criminal Procedure</w:t>
      </w:r>
      <w:r w:rsidR="00D720FB" w:rsidRPr="00D1374E">
        <w:rPr>
          <w:sz w:val="18"/>
          <w:szCs w:val="18"/>
        </w:rPr>
        <w:t xml:space="preserve"> </w:t>
      </w:r>
      <w:r w:rsidRPr="00D1374E">
        <w:rPr>
          <w:sz w:val="18"/>
          <w:szCs w:val="18"/>
        </w:rPr>
        <w:t xml:space="preserve">Law </w:t>
      </w:r>
      <w:r w:rsidR="00D51BCF">
        <w:rPr>
          <w:sz w:val="18"/>
          <w:szCs w:val="18"/>
        </w:rPr>
        <w:t>S</w:t>
      </w:r>
      <w:r w:rsidR="006D15F9" w:rsidRPr="00D1374E">
        <w:rPr>
          <w:sz w:val="18"/>
          <w:szCs w:val="18"/>
        </w:rPr>
        <w:t>ection</w:t>
      </w:r>
      <w:r w:rsidR="00056ADB" w:rsidRPr="00D1374E">
        <w:rPr>
          <w:sz w:val="18"/>
          <w:szCs w:val="18"/>
        </w:rPr>
        <w:t xml:space="preserve"> 160.59. We refer eligible clients </w:t>
      </w:r>
      <w:r w:rsidRPr="00D1374E">
        <w:rPr>
          <w:sz w:val="18"/>
          <w:szCs w:val="18"/>
        </w:rPr>
        <w:t xml:space="preserve">to Legal Aid’s criminal </w:t>
      </w:r>
      <w:r w:rsidR="00056ADB" w:rsidRPr="00D1374E">
        <w:rPr>
          <w:sz w:val="18"/>
          <w:szCs w:val="18"/>
        </w:rPr>
        <w:t>conviction</w:t>
      </w:r>
      <w:r w:rsidRPr="00D1374E">
        <w:rPr>
          <w:sz w:val="18"/>
          <w:szCs w:val="18"/>
        </w:rPr>
        <w:t xml:space="preserve"> sealing project, Case Closed. </w:t>
      </w:r>
      <w:r w:rsidR="00056ADB" w:rsidRPr="00D1374E">
        <w:rPr>
          <w:i/>
          <w:sz w:val="18"/>
          <w:szCs w:val="18"/>
        </w:rPr>
        <w:t xml:space="preserve">See </w:t>
      </w:r>
      <w:r w:rsidR="00056ADB" w:rsidRPr="00D1374E">
        <w:rPr>
          <w:smallCaps/>
          <w:sz w:val="18"/>
          <w:szCs w:val="18"/>
        </w:rPr>
        <w:t>Case Closed</w:t>
      </w:r>
      <w:r w:rsidR="00056ADB" w:rsidRPr="00D1374E">
        <w:rPr>
          <w:sz w:val="18"/>
          <w:szCs w:val="18"/>
        </w:rPr>
        <w:t xml:space="preserve">, https://caseclosed.nyc </w:t>
      </w:r>
      <w:r w:rsidR="006D15F9" w:rsidRPr="00D1374E">
        <w:rPr>
          <w:sz w:val="18"/>
          <w:szCs w:val="18"/>
        </w:rPr>
        <w:t>[https://perma.cc/BE26-9P8T]</w:t>
      </w:r>
      <w:r w:rsidR="00D51BCF">
        <w:rPr>
          <w:sz w:val="18"/>
          <w:szCs w:val="18"/>
        </w:rPr>
        <w:t xml:space="preserve"> </w:t>
      </w:r>
      <w:r w:rsidR="00056ADB" w:rsidRPr="00D1374E">
        <w:rPr>
          <w:sz w:val="18"/>
          <w:szCs w:val="18"/>
        </w:rPr>
        <w:t>(last visited Feb. 17, 2020).</w:t>
      </w:r>
    </w:p>
  </w:footnote>
  <w:footnote w:id="26">
    <w:p w14:paraId="7DD82293" w14:textId="5535147A" w:rsidR="00802F42" w:rsidRPr="00D1374E" w:rsidRDefault="00802F42"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5136AF" w:rsidRPr="00A77A00">
        <w:rPr>
          <w:i/>
          <w:sz w:val="18"/>
          <w:szCs w:val="18"/>
        </w:rPr>
        <w:t>See</w:t>
      </w:r>
      <w:r w:rsidR="005136AF" w:rsidRPr="00A77A00">
        <w:rPr>
          <w:sz w:val="18"/>
          <w:szCs w:val="18"/>
        </w:rPr>
        <w:t xml:space="preserve"> </w:t>
      </w:r>
      <w:r w:rsidRPr="00D1374E">
        <w:rPr>
          <w:sz w:val="18"/>
          <w:szCs w:val="18"/>
          <w:lang w:val="de-DE"/>
        </w:rPr>
        <w:t xml:space="preserve">William Glaberson, </w:t>
      </w:r>
      <w:r w:rsidRPr="00D1374E">
        <w:rPr>
          <w:i/>
          <w:iCs/>
          <w:sz w:val="18"/>
          <w:szCs w:val="18"/>
        </w:rPr>
        <w:t>Faltering Courts, Mired in Delays</w:t>
      </w:r>
      <w:r w:rsidRPr="00D1374E">
        <w:rPr>
          <w:sz w:val="18"/>
          <w:szCs w:val="18"/>
          <w:lang w:val="pt-PT"/>
        </w:rPr>
        <w:t xml:space="preserve">, N.Y. </w:t>
      </w:r>
      <w:r w:rsidRPr="00A77A00">
        <w:rPr>
          <w:smallCaps/>
          <w:sz w:val="18"/>
          <w:szCs w:val="18"/>
          <w:lang w:val="pt-PT"/>
        </w:rPr>
        <w:t>T</w:t>
      </w:r>
      <w:r w:rsidR="00D51BCF" w:rsidRPr="00A77A00">
        <w:rPr>
          <w:smallCaps/>
          <w:sz w:val="18"/>
          <w:szCs w:val="18"/>
          <w:lang w:val="pt-PT"/>
        </w:rPr>
        <w:t>imes</w:t>
      </w:r>
      <w:r w:rsidRPr="00D1374E">
        <w:rPr>
          <w:sz w:val="18"/>
          <w:szCs w:val="18"/>
          <w:lang w:val="pt-PT"/>
        </w:rPr>
        <w:t xml:space="preserve"> (Apr. 13, 2013)</w:t>
      </w:r>
      <w:r w:rsidR="005136AF" w:rsidRPr="00D1374E">
        <w:rPr>
          <w:sz w:val="18"/>
          <w:szCs w:val="18"/>
          <w:lang w:val="pt-PT"/>
        </w:rPr>
        <w:t xml:space="preserve"> (identifying the criminal courts in Bronx County, New York</w:t>
      </w:r>
      <w:r w:rsidR="00D51BCF">
        <w:rPr>
          <w:sz w:val="18"/>
          <w:szCs w:val="18"/>
          <w:lang w:val="pt-PT"/>
        </w:rPr>
        <w:t>,</w:t>
      </w:r>
      <w:r w:rsidR="005136AF" w:rsidRPr="00D1374E">
        <w:rPr>
          <w:sz w:val="18"/>
          <w:szCs w:val="18"/>
          <w:lang w:val="pt-PT"/>
        </w:rPr>
        <w:t xml:space="preserve"> as in “the bottom ranks of the most backlogged of the big-city courts in the country”)</w:t>
      </w:r>
      <w:r w:rsidRPr="00D1374E">
        <w:rPr>
          <w:sz w:val="18"/>
          <w:szCs w:val="18"/>
          <w:lang w:val="pt-PT"/>
        </w:rPr>
        <w:t>.</w:t>
      </w:r>
    </w:p>
  </w:footnote>
  <w:footnote w:id="27">
    <w:p w14:paraId="51EBD1BD" w14:textId="3C84D9E4"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lang w:val="de-DE"/>
        </w:rPr>
        <w:t xml:space="preserve"> </w:t>
      </w:r>
      <w:r w:rsidR="00B318CA" w:rsidRPr="00D1374E">
        <w:rPr>
          <w:rFonts w:ascii="Times New Roman" w:eastAsia="Arial Unicode MS" w:hAnsi="Times New Roman" w:cs="Times New Roman"/>
          <w:smallCaps/>
          <w:sz w:val="18"/>
          <w:szCs w:val="18"/>
          <w:lang w:val="de-DE"/>
        </w:rPr>
        <w:t xml:space="preserve">Issa Kohler-Hausmann, Misdemeanorland: Criminal Courts and Social Control in an Age of Broken Windows Policing </w:t>
      </w:r>
      <w:r w:rsidRPr="00D1374E">
        <w:rPr>
          <w:rFonts w:ascii="Times New Roman" w:eastAsia="Arial Unicode MS" w:hAnsi="Times New Roman" w:cs="Times New Roman"/>
          <w:sz w:val="18"/>
          <w:szCs w:val="18"/>
          <w:lang w:val="de-DE"/>
        </w:rPr>
        <w:t>147 (2018)</w:t>
      </w:r>
      <w:r w:rsidR="006D15F9" w:rsidRPr="00D1374E">
        <w:rPr>
          <w:rFonts w:ascii="Times New Roman" w:eastAsia="Arial Unicode MS" w:hAnsi="Times New Roman" w:cs="Times New Roman"/>
          <w:sz w:val="18"/>
          <w:szCs w:val="18"/>
          <w:lang w:val="de-DE"/>
        </w:rPr>
        <w:t>.</w:t>
      </w:r>
    </w:p>
  </w:footnote>
  <w:footnote w:id="28">
    <w:p w14:paraId="6F2DFF63" w14:textId="40E32F5F"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w:t>
      </w:r>
      <w:r w:rsidR="0000601D" w:rsidRPr="00D1374E">
        <w:rPr>
          <w:rFonts w:ascii="Times New Roman" w:eastAsia="Arial Unicode MS" w:hAnsi="Times New Roman" w:cs="Times New Roman"/>
          <w:i/>
          <w:sz w:val="18"/>
          <w:szCs w:val="18"/>
        </w:rPr>
        <w:t>See Our Organizations</w:t>
      </w:r>
      <w:r w:rsidR="0000601D" w:rsidRPr="00D1374E">
        <w:rPr>
          <w:rFonts w:ascii="Times New Roman" w:eastAsia="Arial Unicode MS" w:hAnsi="Times New Roman" w:cs="Times New Roman"/>
          <w:sz w:val="18"/>
          <w:szCs w:val="18"/>
        </w:rPr>
        <w:t>,</w:t>
      </w:r>
      <w:r w:rsidR="0000601D" w:rsidRPr="00D1374E">
        <w:rPr>
          <w:rFonts w:ascii="Times New Roman" w:eastAsia="Arial Unicode MS" w:hAnsi="Times New Roman" w:cs="Times New Roman"/>
          <w:i/>
          <w:sz w:val="18"/>
          <w:szCs w:val="18"/>
        </w:rPr>
        <w:t xml:space="preserve"> </w:t>
      </w:r>
      <w:r w:rsidRPr="00D1374E">
        <w:rPr>
          <w:rFonts w:ascii="Times New Roman" w:eastAsia="Arial Unicode MS" w:hAnsi="Times New Roman" w:cs="Times New Roman"/>
          <w:smallCaps/>
          <w:sz w:val="18"/>
          <w:szCs w:val="18"/>
        </w:rPr>
        <w:t>Coalition of Reentry Advocates</w:t>
      </w:r>
      <w:r w:rsidRPr="00D1374E">
        <w:rPr>
          <w:rFonts w:ascii="Times New Roman" w:eastAsia="Arial Unicode MS" w:hAnsi="Times New Roman" w:cs="Times New Roman"/>
          <w:sz w:val="18"/>
          <w:szCs w:val="18"/>
        </w:rPr>
        <w:t xml:space="preserve">, </w:t>
      </w:r>
      <w:hyperlink r:id="rId1" w:history="1">
        <w:r w:rsidRPr="00D1374E">
          <w:rPr>
            <w:rStyle w:val="Hyperlink0"/>
            <w:rFonts w:ascii="Times New Roman" w:eastAsia="Arial Unicode MS" w:hAnsi="Times New Roman" w:cs="Times New Roman"/>
            <w:sz w:val="18"/>
            <w:szCs w:val="18"/>
            <w:u w:val="none"/>
          </w:rPr>
          <w:t>http://www.cora-ny.org/</w:t>
        </w:r>
      </w:hyperlink>
      <w:r w:rsidR="0000601D" w:rsidRPr="00D1374E">
        <w:rPr>
          <w:rStyle w:val="Hyperlink0"/>
          <w:rFonts w:ascii="Times New Roman" w:eastAsia="Arial Unicode MS" w:hAnsi="Times New Roman" w:cs="Times New Roman"/>
          <w:sz w:val="18"/>
          <w:szCs w:val="18"/>
          <w:u w:val="none"/>
        </w:rPr>
        <w:t>our-organizations [https://perma.cc/6C2F-UUQX]</w:t>
      </w:r>
      <w:r w:rsidRPr="00D1374E">
        <w:rPr>
          <w:rFonts w:ascii="Times New Roman" w:eastAsia="Arial Unicode MS" w:hAnsi="Times New Roman" w:cs="Times New Roman"/>
          <w:sz w:val="18"/>
          <w:szCs w:val="18"/>
        </w:rPr>
        <w:t xml:space="preserve"> (last visited Feb. 15, 2020).</w:t>
      </w:r>
    </w:p>
  </w:footnote>
  <w:footnote w:id="29">
    <w:p w14:paraId="52AB6503" w14:textId="4BED5879" w:rsidR="007D2326" w:rsidRPr="00D1374E" w:rsidRDefault="007D2326"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9B71AC" w:rsidRPr="00D1374E">
        <w:rPr>
          <w:sz w:val="18"/>
          <w:szCs w:val="18"/>
        </w:rPr>
        <w:t>A</w:t>
      </w:r>
      <w:r w:rsidR="0000601D" w:rsidRPr="00D1374E">
        <w:rPr>
          <w:sz w:val="18"/>
          <w:szCs w:val="18"/>
        </w:rPr>
        <w:t xml:space="preserve">. </w:t>
      </w:r>
      <w:r w:rsidR="009B71AC" w:rsidRPr="00D1374E">
        <w:rPr>
          <w:sz w:val="18"/>
          <w:szCs w:val="18"/>
        </w:rPr>
        <w:t>6045</w:t>
      </w:r>
      <w:r w:rsidR="0000601D" w:rsidRPr="00D1374E">
        <w:rPr>
          <w:sz w:val="18"/>
          <w:szCs w:val="18"/>
        </w:rPr>
        <w:t>,</w:t>
      </w:r>
      <w:r w:rsidR="009B71AC" w:rsidRPr="00D1374E">
        <w:rPr>
          <w:sz w:val="18"/>
          <w:szCs w:val="18"/>
        </w:rPr>
        <w:t xml:space="preserve"> </w:t>
      </w:r>
      <w:r w:rsidR="0000601D" w:rsidRPr="00D1374E">
        <w:rPr>
          <w:sz w:val="18"/>
          <w:szCs w:val="18"/>
        </w:rPr>
        <w:t xml:space="preserve">2019–2020 Leg., Reg. Sess. (NY 2019); </w:t>
      </w:r>
      <w:r w:rsidR="009B71AC" w:rsidRPr="00D1374E">
        <w:rPr>
          <w:sz w:val="18"/>
          <w:szCs w:val="18"/>
        </w:rPr>
        <w:t>S</w:t>
      </w:r>
      <w:r w:rsidR="0000601D" w:rsidRPr="00D1374E">
        <w:rPr>
          <w:sz w:val="18"/>
          <w:szCs w:val="18"/>
        </w:rPr>
        <w:t xml:space="preserve">. </w:t>
      </w:r>
      <w:r w:rsidR="009B71AC" w:rsidRPr="00D1374E">
        <w:rPr>
          <w:sz w:val="18"/>
          <w:szCs w:val="18"/>
        </w:rPr>
        <w:t>3995</w:t>
      </w:r>
      <w:r w:rsidR="0000601D" w:rsidRPr="00D1374E">
        <w:rPr>
          <w:sz w:val="18"/>
          <w:szCs w:val="18"/>
        </w:rPr>
        <w:t>, 2019–2020 Leg., Reg. Sess. (N</w:t>
      </w:r>
      <w:r w:rsidR="008F1435" w:rsidRPr="00D1374E">
        <w:rPr>
          <w:sz w:val="18"/>
          <w:szCs w:val="18"/>
        </w:rPr>
        <w:t>.</w:t>
      </w:r>
      <w:r w:rsidR="0000601D" w:rsidRPr="00D1374E">
        <w:rPr>
          <w:sz w:val="18"/>
          <w:szCs w:val="18"/>
        </w:rPr>
        <w:t>Y</w:t>
      </w:r>
      <w:r w:rsidR="008F1435" w:rsidRPr="00D1374E">
        <w:rPr>
          <w:sz w:val="18"/>
          <w:szCs w:val="18"/>
        </w:rPr>
        <w:t>.</w:t>
      </w:r>
      <w:r w:rsidR="0000601D" w:rsidRPr="00D1374E">
        <w:rPr>
          <w:sz w:val="18"/>
          <w:szCs w:val="18"/>
        </w:rPr>
        <w:t xml:space="preserve"> 2019).</w:t>
      </w:r>
    </w:p>
  </w:footnote>
  <w:footnote w:id="30">
    <w:p w14:paraId="144EFB3C" w14:textId="18403235" w:rsidR="007D2326" w:rsidRPr="00D1374E" w:rsidRDefault="007D2326"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8F1435" w:rsidRPr="00D1374E">
        <w:rPr>
          <w:sz w:val="18"/>
          <w:szCs w:val="18"/>
        </w:rPr>
        <w:t>S. 1505</w:t>
      </w:r>
      <w:r w:rsidR="005B79E5">
        <w:rPr>
          <w:sz w:val="18"/>
          <w:szCs w:val="18"/>
        </w:rPr>
        <w:t>–C</w:t>
      </w:r>
      <w:r w:rsidR="008F1435" w:rsidRPr="00D1374E">
        <w:rPr>
          <w:sz w:val="18"/>
          <w:szCs w:val="18"/>
        </w:rPr>
        <w:t xml:space="preserve"> &amp; A. 2005</w:t>
      </w:r>
      <w:r w:rsidR="005B79E5">
        <w:rPr>
          <w:sz w:val="18"/>
          <w:szCs w:val="18"/>
        </w:rPr>
        <w:t>–</w:t>
      </w:r>
      <w:r w:rsidR="0043729C" w:rsidRPr="00D1374E">
        <w:rPr>
          <w:sz w:val="18"/>
          <w:szCs w:val="18"/>
        </w:rPr>
        <w:t>C</w:t>
      </w:r>
      <w:r w:rsidR="008F1435" w:rsidRPr="00D1374E">
        <w:rPr>
          <w:sz w:val="18"/>
          <w:szCs w:val="18"/>
        </w:rPr>
        <w:t xml:space="preserve">, </w:t>
      </w:r>
      <w:r w:rsidR="0043729C" w:rsidRPr="00D1374E">
        <w:rPr>
          <w:sz w:val="18"/>
          <w:szCs w:val="18"/>
        </w:rPr>
        <w:t>pt. II,</w:t>
      </w:r>
      <w:r w:rsidR="00D578F7" w:rsidRPr="00D1374E">
        <w:rPr>
          <w:sz w:val="18"/>
          <w:szCs w:val="18"/>
        </w:rPr>
        <w:t xml:space="preserve"> </w:t>
      </w:r>
      <w:proofErr w:type="spellStart"/>
      <w:r w:rsidR="00D578F7" w:rsidRPr="00D1374E">
        <w:rPr>
          <w:sz w:val="18"/>
          <w:szCs w:val="18"/>
        </w:rPr>
        <w:t>subpt</w:t>
      </w:r>
      <w:proofErr w:type="spellEnd"/>
      <w:r w:rsidR="00D578F7" w:rsidRPr="00D1374E">
        <w:rPr>
          <w:sz w:val="18"/>
          <w:szCs w:val="18"/>
        </w:rPr>
        <w:t>. O</w:t>
      </w:r>
      <w:r w:rsidR="008F1435" w:rsidRPr="00D1374E">
        <w:rPr>
          <w:sz w:val="18"/>
          <w:szCs w:val="18"/>
        </w:rPr>
        <w:t>, 2019–2020 Leg. (N.Y. 2019)</w:t>
      </w:r>
      <w:r w:rsidR="009B71AC" w:rsidRPr="00D1374E">
        <w:rPr>
          <w:sz w:val="18"/>
          <w:szCs w:val="18"/>
        </w:rPr>
        <w:t xml:space="preserve"> (amending N.Y. Exec. Law § 296(16))</w:t>
      </w:r>
      <w:r w:rsidR="00D578F7" w:rsidRPr="00D1374E">
        <w:rPr>
          <w:sz w:val="18"/>
          <w:szCs w:val="18"/>
        </w:rPr>
        <w:t xml:space="preserve">. </w:t>
      </w:r>
    </w:p>
  </w:footnote>
  <w:footnote w:id="31">
    <w:p w14:paraId="31FDBEAE" w14:textId="5F79FD47"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i/>
          <w:sz w:val="18"/>
          <w:szCs w:val="18"/>
        </w:rPr>
        <w:t>See</w:t>
      </w:r>
      <w:r w:rsidRPr="00D1374E">
        <w:rPr>
          <w:rFonts w:ascii="Times New Roman" w:eastAsia="Arial Unicode MS" w:hAnsi="Times New Roman" w:cs="Times New Roman"/>
          <w:sz w:val="18"/>
          <w:szCs w:val="18"/>
        </w:rPr>
        <w:t xml:space="preserve"> </w:t>
      </w:r>
      <w:r w:rsidRPr="00D1374E">
        <w:rPr>
          <w:rFonts w:ascii="Times New Roman" w:eastAsia="Arial Unicode MS" w:hAnsi="Times New Roman" w:cs="Times New Roman"/>
          <w:smallCaps/>
          <w:sz w:val="18"/>
          <w:szCs w:val="18"/>
        </w:rPr>
        <w:t>N.Y. State Div. of Crim. Justice Servs., 2014</w:t>
      </w:r>
      <w:r w:rsidR="00D51BCF">
        <w:rPr>
          <w:rFonts w:ascii="Times New Roman" w:eastAsia="Arial Unicode MS" w:hAnsi="Times New Roman" w:cs="Times New Roman"/>
          <w:smallCaps/>
          <w:sz w:val="18"/>
          <w:szCs w:val="18"/>
        </w:rPr>
        <w:t>–</w:t>
      </w:r>
      <w:r w:rsidRPr="00D1374E">
        <w:rPr>
          <w:rFonts w:ascii="Times New Roman" w:eastAsia="Arial Unicode MS" w:hAnsi="Times New Roman" w:cs="Times New Roman"/>
          <w:smallCaps/>
          <w:sz w:val="18"/>
          <w:szCs w:val="18"/>
        </w:rPr>
        <w:t>2018 Dispositions of Adult Arrests</w:t>
      </w:r>
      <w:r w:rsidR="001A5814" w:rsidRPr="00D1374E">
        <w:rPr>
          <w:rFonts w:ascii="Times New Roman" w:eastAsia="Arial Unicode MS" w:hAnsi="Times New Roman" w:cs="Times New Roman"/>
          <w:sz w:val="18"/>
          <w:szCs w:val="18"/>
        </w:rPr>
        <w:t xml:space="preserve"> (Mar</w:t>
      </w:r>
      <w:r w:rsidR="00D51BCF">
        <w:rPr>
          <w:rFonts w:ascii="Times New Roman" w:eastAsia="Arial Unicode MS" w:hAnsi="Times New Roman" w:cs="Times New Roman"/>
          <w:sz w:val="18"/>
          <w:szCs w:val="18"/>
        </w:rPr>
        <w:t>.</w:t>
      </w:r>
      <w:r w:rsidR="001A5814" w:rsidRPr="00D1374E">
        <w:rPr>
          <w:rFonts w:ascii="Times New Roman" w:eastAsia="Arial Unicode MS" w:hAnsi="Times New Roman" w:cs="Times New Roman"/>
          <w:sz w:val="18"/>
          <w:szCs w:val="18"/>
        </w:rPr>
        <w:t xml:space="preserve"> 22, 2019), </w:t>
      </w:r>
      <w:r w:rsidR="00D51BCF" w:rsidRPr="00D1374E">
        <w:rPr>
          <w:rStyle w:val="Hyperlink0"/>
          <w:rFonts w:ascii="Times New Roman" w:eastAsia="Arial Unicode MS" w:hAnsi="Times New Roman" w:cs="Times New Roman"/>
          <w:sz w:val="18"/>
          <w:szCs w:val="18"/>
          <w:u w:val="none"/>
        </w:rPr>
        <w:t>https://www.criminaljustice.ny.gov/crimnet/ojsa/dispos/nys.pdf</w:t>
      </w:r>
      <w:r w:rsidR="007D2326" w:rsidRPr="00D1374E">
        <w:rPr>
          <w:rFonts w:ascii="Times New Roman" w:hAnsi="Times New Roman" w:cs="Times New Roman"/>
          <w:sz w:val="18"/>
          <w:szCs w:val="18"/>
        </w:rPr>
        <w:t xml:space="preserve"> </w:t>
      </w:r>
      <w:r w:rsidR="001A5814" w:rsidRPr="00D1374E">
        <w:rPr>
          <w:rFonts w:ascii="Times New Roman" w:hAnsi="Times New Roman" w:cs="Times New Roman"/>
          <w:sz w:val="18"/>
          <w:szCs w:val="18"/>
        </w:rPr>
        <w:t xml:space="preserve">[https://perma.cc/6MTT-LEK6] </w:t>
      </w:r>
      <w:r w:rsidR="007D2326" w:rsidRPr="00D1374E">
        <w:rPr>
          <w:rFonts w:ascii="Times New Roman" w:hAnsi="Times New Roman" w:cs="Times New Roman"/>
          <w:sz w:val="18"/>
          <w:szCs w:val="18"/>
        </w:rPr>
        <w:t>(</w:t>
      </w:r>
      <w:r w:rsidR="001A5814" w:rsidRPr="00D1374E">
        <w:rPr>
          <w:rFonts w:ascii="Times New Roman" w:hAnsi="Times New Roman" w:cs="Times New Roman"/>
          <w:sz w:val="18"/>
          <w:szCs w:val="18"/>
        </w:rPr>
        <w:t>reporting</w:t>
      </w:r>
      <w:r w:rsidR="00D51BCF">
        <w:rPr>
          <w:rFonts w:ascii="Times New Roman" w:hAnsi="Times New Roman" w:cs="Times New Roman"/>
          <w:sz w:val="18"/>
          <w:szCs w:val="18"/>
        </w:rPr>
        <w:t xml:space="preserve"> the</w:t>
      </w:r>
      <w:r w:rsidR="007D2326" w:rsidRPr="00D1374E">
        <w:rPr>
          <w:rFonts w:ascii="Times New Roman" w:hAnsi="Times New Roman" w:cs="Times New Roman"/>
          <w:sz w:val="18"/>
          <w:szCs w:val="18"/>
        </w:rPr>
        <w:t xml:space="preserve"> number of criminal cases in New York State resolved with adjournments in contemplation of dismissal annually, from 2014</w:t>
      </w:r>
      <w:r w:rsidR="00D51BCF">
        <w:rPr>
          <w:rFonts w:ascii="Times New Roman" w:hAnsi="Times New Roman" w:cs="Times New Roman"/>
          <w:sz w:val="18"/>
          <w:szCs w:val="18"/>
        </w:rPr>
        <w:t xml:space="preserve"> to </w:t>
      </w:r>
      <w:r w:rsidR="007D2326" w:rsidRPr="00D1374E">
        <w:rPr>
          <w:rFonts w:ascii="Times New Roman" w:hAnsi="Times New Roman" w:cs="Times New Roman"/>
          <w:sz w:val="18"/>
          <w:szCs w:val="18"/>
        </w:rPr>
        <w:t>2018)</w:t>
      </w:r>
      <w:r w:rsidRPr="00D1374E">
        <w:rPr>
          <w:rFonts w:ascii="Times New Roman" w:eastAsia="Arial Unicode MS" w:hAnsi="Times New Roman" w:cs="Times New Roman"/>
          <w:sz w:val="18"/>
          <w:szCs w:val="18"/>
        </w:rPr>
        <w:t>.</w:t>
      </w:r>
    </w:p>
  </w:footnote>
  <w:footnote w:id="32">
    <w:p w14:paraId="6E88D9F2" w14:textId="65F6661B" w:rsidR="007D4D71" w:rsidRPr="00D1374E" w:rsidRDefault="004452CA" w:rsidP="00D1374E">
      <w:pPr>
        <w:pStyle w:val="Footnote"/>
        <w:ind w:firstLine="180"/>
        <w:jc w:val="both"/>
        <w:rPr>
          <w:rFonts w:ascii="Times New Roman" w:hAnsi="Times New Roman" w:cs="Times New Roman"/>
          <w:sz w:val="18"/>
          <w:szCs w:val="18"/>
        </w:rPr>
      </w:pPr>
      <w:r w:rsidRPr="00D1374E">
        <w:rPr>
          <w:rFonts w:ascii="Times New Roman" w:hAnsi="Times New Roman" w:cs="Times New Roman"/>
          <w:sz w:val="18"/>
          <w:szCs w:val="18"/>
          <w:vertAlign w:val="superscript"/>
        </w:rPr>
        <w:footnoteRef/>
      </w:r>
      <w:r w:rsidRPr="00D1374E">
        <w:rPr>
          <w:rFonts w:ascii="Times New Roman" w:eastAsia="Arial Unicode MS" w:hAnsi="Times New Roman" w:cs="Times New Roman"/>
          <w:sz w:val="18"/>
          <w:szCs w:val="18"/>
        </w:rPr>
        <w:t xml:space="preserve"> Anastasia </w:t>
      </w:r>
      <w:proofErr w:type="spellStart"/>
      <w:r w:rsidRPr="00D1374E">
        <w:rPr>
          <w:rFonts w:ascii="Times New Roman" w:eastAsia="Arial Unicode MS" w:hAnsi="Times New Roman" w:cs="Times New Roman"/>
          <w:sz w:val="18"/>
          <w:szCs w:val="18"/>
        </w:rPr>
        <w:t>Christman</w:t>
      </w:r>
      <w:proofErr w:type="spellEnd"/>
      <w:r w:rsidRPr="00D1374E">
        <w:rPr>
          <w:rFonts w:ascii="Times New Roman" w:eastAsia="Arial Unicode MS" w:hAnsi="Times New Roman" w:cs="Times New Roman"/>
          <w:sz w:val="18"/>
          <w:szCs w:val="18"/>
        </w:rPr>
        <w:t xml:space="preserve"> &amp; Michelle Natividad Rodriguez, </w:t>
      </w:r>
      <w:r w:rsidRPr="00D1374E">
        <w:rPr>
          <w:rFonts w:ascii="Times New Roman" w:eastAsia="Arial Unicode MS" w:hAnsi="Times New Roman" w:cs="Times New Roman"/>
          <w:i/>
          <w:iCs/>
          <w:sz w:val="18"/>
          <w:szCs w:val="18"/>
        </w:rPr>
        <w:t>Resear</w:t>
      </w:r>
      <w:r w:rsidR="008B1258" w:rsidRPr="00D1374E">
        <w:rPr>
          <w:rFonts w:ascii="Times New Roman" w:eastAsia="Arial Unicode MS" w:hAnsi="Times New Roman" w:cs="Times New Roman"/>
          <w:i/>
          <w:iCs/>
          <w:sz w:val="18"/>
          <w:szCs w:val="18"/>
        </w:rPr>
        <w:t>ch Supports Fair Chance Policies</w:t>
      </w:r>
      <w:r w:rsidRPr="00D1374E">
        <w:rPr>
          <w:rFonts w:ascii="Times New Roman" w:eastAsia="Arial Unicode MS" w:hAnsi="Times New Roman" w:cs="Times New Roman"/>
          <w:sz w:val="18"/>
          <w:szCs w:val="18"/>
        </w:rPr>
        <w:t xml:space="preserve">, </w:t>
      </w:r>
      <w:r w:rsidR="008B1258" w:rsidRPr="00D1374E">
        <w:rPr>
          <w:rFonts w:ascii="Times New Roman" w:eastAsia="Arial Unicode MS" w:hAnsi="Times New Roman" w:cs="Times New Roman"/>
          <w:smallCaps/>
          <w:sz w:val="18"/>
          <w:szCs w:val="18"/>
        </w:rPr>
        <w:t>Nat’l Emp. Law Project</w:t>
      </w:r>
      <w:r w:rsidR="001A5814" w:rsidRPr="00D1374E">
        <w:rPr>
          <w:rFonts w:ascii="Times New Roman" w:eastAsia="Arial Unicode MS" w:hAnsi="Times New Roman" w:cs="Times New Roman"/>
          <w:sz w:val="18"/>
          <w:szCs w:val="18"/>
        </w:rPr>
        <w:t xml:space="preserve"> (Aug. </w:t>
      </w:r>
      <w:r w:rsidR="0034423A" w:rsidRPr="00D1374E">
        <w:rPr>
          <w:rFonts w:ascii="Times New Roman" w:eastAsia="Arial Unicode MS" w:hAnsi="Times New Roman" w:cs="Times New Roman"/>
          <w:sz w:val="18"/>
          <w:szCs w:val="18"/>
        </w:rPr>
        <w:t xml:space="preserve">1, </w:t>
      </w:r>
      <w:r w:rsidR="001A5814" w:rsidRPr="00D1374E">
        <w:rPr>
          <w:rFonts w:ascii="Times New Roman" w:eastAsia="Arial Unicode MS" w:hAnsi="Times New Roman" w:cs="Times New Roman"/>
          <w:sz w:val="18"/>
          <w:szCs w:val="18"/>
        </w:rPr>
        <w:t>2016),</w:t>
      </w:r>
      <w:r w:rsidR="008B1258" w:rsidRPr="00D1374E">
        <w:rPr>
          <w:rFonts w:ascii="Times New Roman" w:eastAsia="Arial Unicode MS" w:hAnsi="Times New Roman" w:cs="Times New Roman"/>
          <w:sz w:val="18"/>
          <w:szCs w:val="18"/>
        </w:rPr>
        <w:t xml:space="preserve"> </w:t>
      </w:r>
      <w:hyperlink r:id="rId2" w:history="1">
        <w:r w:rsidRPr="00D1374E">
          <w:rPr>
            <w:rStyle w:val="Hyperlink0"/>
            <w:rFonts w:ascii="Times New Roman" w:eastAsia="Arial Unicode MS" w:hAnsi="Times New Roman" w:cs="Times New Roman"/>
            <w:sz w:val="18"/>
            <w:szCs w:val="18"/>
            <w:u w:val="none"/>
          </w:rPr>
          <w:t>https://www.nelp.org/publication/research-supports-fair-chance-policies/</w:t>
        </w:r>
      </w:hyperlink>
      <w:r w:rsidR="008B1258" w:rsidRPr="00D1374E">
        <w:rPr>
          <w:rFonts w:ascii="Times New Roman" w:hAnsi="Times New Roman" w:cs="Times New Roman"/>
          <w:sz w:val="18"/>
          <w:szCs w:val="18"/>
        </w:rPr>
        <w:t xml:space="preserve"> </w:t>
      </w:r>
      <w:r w:rsidR="001A5814" w:rsidRPr="00D1374E">
        <w:rPr>
          <w:rFonts w:ascii="Times New Roman" w:hAnsi="Times New Roman" w:cs="Times New Roman"/>
          <w:sz w:val="18"/>
          <w:szCs w:val="18"/>
        </w:rPr>
        <w:t>[</w:t>
      </w:r>
      <w:r w:rsidR="0034423A" w:rsidRPr="00D1374E">
        <w:rPr>
          <w:rFonts w:ascii="Times New Roman" w:hAnsi="Times New Roman" w:cs="Times New Roman"/>
          <w:sz w:val="18"/>
          <w:szCs w:val="18"/>
        </w:rPr>
        <w:t>https://perma.cc/9CCF-V27N</w:t>
      </w:r>
      <w:r w:rsidR="001A5814" w:rsidRPr="00D1374E">
        <w:rPr>
          <w:rFonts w:ascii="Times New Roman" w:hAnsi="Times New Roman" w:cs="Times New Roman"/>
          <w:sz w:val="18"/>
          <w:szCs w:val="18"/>
        </w:rPr>
        <w:t>]</w:t>
      </w:r>
      <w:r w:rsidRPr="00D1374E">
        <w:rPr>
          <w:rFonts w:ascii="Times New Roman" w:eastAsia="Arial Unicode MS" w:hAnsi="Times New Roman" w:cs="Times New Roman"/>
          <w:sz w:val="18"/>
          <w:szCs w:val="18"/>
        </w:rPr>
        <w:t>.</w:t>
      </w:r>
    </w:p>
  </w:footnote>
  <w:footnote w:id="33">
    <w:p w14:paraId="131E16B9" w14:textId="71D2CB5B" w:rsidR="003163D1" w:rsidRPr="00D1374E" w:rsidRDefault="003163D1"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003335DE" w:rsidRPr="00D1374E">
        <w:rPr>
          <w:i/>
          <w:sz w:val="18"/>
          <w:szCs w:val="18"/>
        </w:rPr>
        <w:t xml:space="preserve">See </w:t>
      </w:r>
      <w:proofErr w:type="spellStart"/>
      <w:r w:rsidR="00CF0192" w:rsidRPr="00D1374E">
        <w:rPr>
          <w:sz w:val="18"/>
          <w:szCs w:val="18"/>
        </w:rPr>
        <w:t>Lani</w:t>
      </w:r>
      <w:proofErr w:type="spellEnd"/>
      <w:r w:rsidR="00CF0192" w:rsidRPr="00D1374E">
        <w:rPr>
          <w:sz w:val="18"/>
          <w:szCs w:val="18"/>
        </w:rPr>
        <w:t xml:space="preserve"> </w:t>
      </w:r>
      <w:proofErr w:type="spellStart"/>
      <w:r w:rsidR="00CF0192" w:rsidRPr="00D1374E">
        <w:rPr>
          <w:sz w:val="18"/>
          <w:szCs w:val="18"/>
        </w:rPr>
        <w:t>Guinier</w:t>
      </w:r>
      <w:proofErr w:type="spellEnd"/>
      <w:r w:rsidR="00CF0192" w:rsidRPr="00D1374E">
        <w:rPr>
          <w:sz w:val="18"/>
          <w:szCs w:val="18"/>
        </w:rPr>
        <w:t xml:space="preserve"> &amp;</w:t>
      </w:r>
      <w:r w:rsidR="00CF0192" w:rsidRPr="005B79E5">
        <w:rPr>
          <w:sz w:val="18"/>
          <w:szCs w:val="18"/>
        </w:rPr>
        <w:t xml:space="preserve"> Gerald Torres, </w:t>
      </w:r>
      <w:r w:rsidR="00CF0192" w:rsidRPr="00D1374E">
        <w:rPr>
          <w:i/>
          <w:sz w:val="18"/>
          <w:szCs w:val="18"/>
        </w:rPr>
        <w:t xml:space="preserve">Changing the Wind: Notes Toward A </w:t>
      </w:r>
      <w:proofErr w:type="spellStart"/>
      <w:r w:rsidR="00CF0192" w:rsidRPr="00D1374E">
        <w:rPr>
          <w:i/>
          <w:sz w:val="18"/>
          <w:szCs w:val="18"/>
        </w:rPr>
        <w:t>Demosprudence</w:t>
      </w:r>
      <w:proofErr w:type="spellEnd"/>
      <w:r w:rsidR="00CF0192" w:rsidRPr="00D1374E">
        <w:rPr>
          <w:i/>
          <w:sz w:val="18"/>
          <w:szCs w:val="18"/>
        </w:rPr>
        <w:t xml:space="preserve"> of Law and Social Movements</w:t>
      </w:r>
      <w:r w:rsidR="00CF0192" w:rsidRPr="005B79E5">
        <w:rPr>
          <w:sz w:val="18"/>
          <w:szCs w:val="18"/>
        </w:rPr>
        <w:t xml:space="preserve">, 123 </w:t>
      </w:r>
      <w:r w:rsidR="00CF0192" w:rsidRPr="005B79E5">
        <w:rPr>
          <w:smallCaps/>
          <w:sz w:val="18"/>
          <w:szCs w:val="18"/>
        </w:rPr>
        <w:t>Yale L.J.</w:t>
      </w:r>
      <w:r w:rsidR="003755A2" w:rsidRPr="00D1374E">
        <w:rPr>
          <w:sz w:val="18"/>
          <w:szCs w:val="18"/>
        </w:rPr>
        <w:t xml:space="preserve"> 2740</w:t>
      </w:r>
      <w:r w:rsidR="00CF0192" w:rsidRPr="005B79E5">
        <w:rPr>
          <w:sz w:val="18"/>
          <w:szCs w:val="18"/>
        </w:rPr>
        <w:t xml:space="preserve"> (2014)</w:t>
      </w:r>
      <w:r w:rsidR="00C13E16" w:rsidRPr="00D1374E">
        <w:rPr>
          <w:sz w:val="18"/>
          <w:szCs w:val="18"/>
        </w:rPr>
        <w:t xml:space="preserve"> (explaining the role of culture shifting and popular mobilization in “producing durable social change”)</w:t>
      </w:r>
      <w:r w:rsidR="00CF0192" w:rsidRPr="00D1374E">
        <w:rPr>
          <w:sz w:val="18"/>
          <w:szCs w:val="18"/>
        </w:rPr>
        <w:t xml:space="preserve">; </w:t>
      </w:r>
      <w:r w:rsidRPr="00D1374E">
        <w:rPr>
          <w:sz w:val="18"/>
          <w:szCs w:val="18"/>
        </w:rPr>
        <w:t xml:space="preserve">Thomas B. Stoddard, </w:t>
      </w:r>
      <w:r w:rsidRPr="00D1374E">
        <w:rPr>
          <w:i/>
          <w:sz w:val="18"/>
          <w:szCs w:val="18"/>
        </w:rPr>
        <w:t>Bleeding Heart: Reflections on Using the Law To Make Social Change</w:t>
      </w:r>
      <w:r w:rsidRPr="00D1374E">
        <w:rPr>
          <w:sz w:val="18"/>
          <w:szCs w:val="18"/>
        </w:rPr>
        <w:t xml:space="preserve">, 72 </w:t>
      </w:r>
      <w:r w:rsidRPr="00D1374E">
        <w:rPr>
          <w:smallCaps/>
          <w:sz w:val="18"/>
          <w:szCs w:val="18"/>
        </w:rPr>
        <w:t>N.Y.U. L. Rev.</w:t>
      </w:r>
      <w:r w:rsidRPr="00D1374E">
        <w:rPr>
          <w:sz w:val="18"/>
          <w:szCs w:val="18"/>
        </w:rPr>
        <w:t xml:space="preserve"> 967 (1997)</w:t>
      </w:r>
      <w:r w:rsidR="007C036F" w:rsidRPr="00D1374E">
        <w:rPr>
          <w:sz w:val="18"/>
          <w:szCs w:val="18"/>
        </w:rPr>
        <w:t xml:space="preserve"> </w:t>
      </w:r>
      <w:r w:rsidR="00E11B73" w:rsidRPr="00D1374E">
        <w:rPr>
          <w:sz w:val="18"/>
          <w:szCs w:val="18"/>
        </w:rPr>
        <w:t>(describing the law’s “culture-shifting” and “rule-shifting”</w:t>
      </w:r>
      <w:r w:rsidR="00C13E16" w:rsidRPr="00D1374E">
        <w:rPr>
          <w:sz w:val="18"/>
          <w:szCs w:val="18"/>
        </w:rPr>
        <w:t xml:space="preserve"> capacities).</w:t>
      </w:r>
      <w:r w:rsidR="00E11B73" w:rsidRPr="00D1374E">
        <w:rPr>
          <w:sz w:val="18"/>
          <w:szCs w:val="18"/>
        </w:rPr>
        <w:t xml:space="preserve">  </w:t>
      </w:r>
    </w:p>
  </w:footnote>
  <w:footnote w:id="34">
    <w:p w14:paraId="045A69CA" w14:textId="5B7FD7F8" w:rsidR="003335DE" w:rsidRPr="00D1374E" w:rsidRDefault="003335DE" w:rsidP="00D1374E">
      <w:pPr>
        <w:pStyle w:val="FootnoteText"/>
        <w:ind w:firstLine="180"/>
        <w:jc w:val="both"/>
        <w:rPr>
          <w:sz w:val="18"/>
          <w:szCs w:val="18"/>
        </w:rPr>
      </w:pPr>
      <w:r w:rsidRPr="00D1374E">
        <w:rPr>
          <w:rStyle w:val="FootnoteReference"/>
          <w:sz w:val="18"/>
          <w:szCs w:val="18"/>
        </w:rPr>
        <w:footnoteRef/>
      </w:r>
      <w:r w:rsidRPr="00D1374E">
        <w:rPr>
          <w:sz w:val="18"/>
          <w:szCs w:val="18"/>
        </w:rPr>
        <w:t xml:space="preserve"> </w:t>
      </w:r>
      <w:r w:rsidRPr="00D1374E">
        <w:rPr>
          <w:i/>
          <w:sz w:val="18"/>
          <w:szCs w:val="18"/>
        </w:rPr>
        <w:t>See</w:t>
      </w:r>
      <w:r w:rsidR="00F813BB" w:rsidRPr="00D1374E">
        <w:rPr>
          <w:i/>
          <w:sz w:val="18"/>
          <w:szCs w:val="18"/>
        </w:rPr>
        <w:t>, e.g.</w:t>
      </w:r>
      <w:r w:rsidR="00F813BB" w:rsidRPr="00D1374E">
        <w:rPr>
          <w:sz w:val="18"/>
          <w:szCs w:val="18"/>
        </w:rPr>
        <w:t>,</w:t>
      </w:r>
      <w:r w:rsidRPr="00D1374E">
        <w:rPr>
          <w:i/>
          <w:sz w:val="18"/>
          <w:szCs w:val="18"/>
        </w:rPr>
        <w:t xml:space="preserve"> </w:t>
      </w:r>
      <w:r w:rsidRPr="00D1374E">
        <w:rPr>
          <w:smallCaps/>
          <w:sz w:val="18"/>
          <w:szCs w:val="18"/>
        </w:rPr>
        <w:t>Full Participation Is A Human Right</w:t>
      </w:r>
      <w:r w:rsidRPr="00D1374E">
        <w:rPr>
          <w:sz w:val="18"/>
          <w:szCs w:val="18"/>
        </w:rPr>
        <w:t>, https://full-participation.org</w:t>
      </w:r>
      <w:r w:rsidR="00B56AC9" w:rsidRPr="00D1374E">
        <w:rPr>
          <w:sz w:val="18"/>
          <w:szCs w:val="18"/>
        </w:rPr>
        <w:t xml:space="preserve"> [https://perma.cc/HT67-8ZSM]</w:t>
      </w:r>
      <w:r w:rsidRPr="00D1374E">
        <w:rPr>
          <w:sz w:val="18"/>
          <w:szCs w:val="18"/>
        </w:rPr>
        <w:t xml:space="preserve"> (last visited Feb. 17, 2020)</w:t>
      </w:r>
      <w:r w:rsidR="00F66809" w:rsidRPr="00D1374E">
        <w:rPr>
          <w:sz w:val="18"/>
          <w:szCs w:val="18"/>
        </w:rPr>
        <w:t xml:space="preserve"> (describing the Full Participation Moveme</w:t>
      </w:r>
      <w:r w:rsidR="006D1742" w:rsidRPr="00D1374E">
        <w:rPr>
          <w:sz w:val="18"/>
          <w:szCs w:val="18"/>
        </w:rPr>
        <w:t>nt, which challenges the exclusion of people with criminal records from the workplace and other community sectors)</w:t>
      </w:r>
      <w:r w:rsidRPr="00D1374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4196872"/>
      <w:docPartObj>
        <w:docPartGallery w:val="Page Numbers (Top of Page)"/>
        <w:docPartUnique/>
      </w:docPartObj>
    </w:sdtPr>
    <w:sdtEndPr>
      <w:rPr>
        <w:rStyle w:val="PageNumber"/>
      </w:rPr>
    </w:sdtEndPr>
    <w:sdtContent>
      <w:p w14:paraId="1AAB9E2C" w14:textId="1CDAB533" w:rsidR="004A7937" w:rsidRDefault="004A7937" w:rsidP="006C713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sdtContent>
  </w:sdt>
  <w:p w14:paraId="5DF56E26" w14:textId="36EFBAE6" w:rsidR="004A7937" w:rsidRPr="004E4B5E" w:rsidRDefault="004A7937" w:rsidP="004A7937">
    <w:pPr>
      <w:pStyle w:val="Header"/>
      <w:tabs>
        <w:tab w:val="clear" w:pos="4680"/>
        <w:tab w:val="center" w:pos="3600"/>
      </w:tabs>
      <w:ind w:right="54" w:firstLine="360"/>
      <w:rPr>
        <w:smallCaps/>
      </w:rPr>
    </w:pPr>
    <w:r>
      <w:tab/>
    </w:r>
    <w:r w:rsidRPr="004E4B5E">
      <w:rPr>
        <w:smallCaps/>
      </w:rPr>
      <w:t>The Worker Justice Project</w:t>
    </w:r>
    <w:r w:rsidRPr="004E4B5E">
      <w:rPr>
        <w:smallCaps/>
      </w:rPr>
      <w:tab/>
    </w:r>
    <w:r w:rsidR="004E4B5E" w:rsidRPr="004E4B5E">
      <w:rPr>
        <w:smallCaps/>
      </w:rPr>
      <w:t>Vol. 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9952526"/>
      <w:docPartObj>
        <w:docPartGallery w:val="Page Numbers (Top of Page)"/>
        <w:docPartUnique/>
      </w:docPartObj>
    </w:sdtPr>
    <w:sdtEndPr>
      <w:rPr>
        <w:rStyle w:val="PageNumber"/>
      </w:rPr>
    </w:sdtEndPr>
    <w:sdtContent>
      <w:p w14:paraId="0D661F86" w14:textId="0CAE96C9" w:rsidR="004A7937" w:rsidRDefault="004A7937" w:rsidP="006C713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sdtContent>
  </w:sdt>
  <w:p w14:paraId="406C8F10" w14:textId="109C054A" w:rsidR="004A7937" w:rsidRDefault="004E4B5E" w:rsidP="004E4B5E">
    <w:pPr>
      <w:pStyle w:val="Header"/>
      <w:tabs>
        <w:tab w:val="clear" w:pos="4680"/>
        <w:tab w:val="center" w:pos="3600"/>
      </w:tabs>
      <w:ind w:right="360"/>
    </w:pPr>
    <w:r>
      <w:t>March 23, 2020</w:t>
    </w:r>
    <w:r>
      <w:tab/>
    </w:r>
    <w:r w:rsidRPr="004E4B5E">
      <w:rPr>
        <w:i/>
        <w:smallCaps/>
      </w:rPr>
      <w:t>The Harbinger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defaultTabStop w:val="720"/>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71"/>
    <w:rsid w:val="00001F92"/>
    <w:rsid w:val="0000601D"/>
    <w:rsid w:val="00007460"/>
    <w:rsid w:val="00041019"/>
    <w:rsid w:val="00052332"/>
    <w:rsid w:val="000527E4"/>
    <w:rsid w:val="00056ADB"/>
    <w:rsid w:val="00062D30"/>
    <w:rsid w:val="00090E2F"/>
    <w:rsid w:val="000A3FEF"/>
    <w:rsid w:val="000B4E9B"/>
    <w:rsid w:val="000E0165"/>
    <w:rsid w:val="000E2802"/>
    <w:rsid w:val="000E3372"/>
    <w:rsid w:val="000F7880"/>
    <w:rsid w:val="000F7F46"/>
    <w:rsid w:val="001005DB"/>
    <w:rsid w:val="001031AA"/>
    <w:rsid w:val="001106B6"/>
    <w:rsid w:val="001129C6"/>
    <w:rsid w:val="001142DD"/>
    <w:rsid w:val="00140D7F"/>
    <w:rsid w:val="0014622C"/>
    <w:rsid w:val="00173A85"/>
    <w:rsid w:val="0018049F"/>
    <w:rsid w:val="00195CAD"/>
    <w:rsid w:val="001A12FC"/>
    <w:rsid w:val="001A5814"/>
    <w:rsid w:val="001C24D2"/>
    <w:rsid w:val="001F5804"/>
    <w:rsid w:val="00203655"/>
    <w:rsid w:val="00212879"/>
    <w:rsid w:val="00232E6D"/>
    <w:rsid w:val="00255E77"/>
    <w:rsid w:val="00256E8A"/>
    <w:rsid w:val="00270C2C"/>
    <w:rsid w:val="002721C8"/>
    <w:rsid w:val="00273F61"/>
    <w:rsid w:val="00280759"/>
    <w:rsid w:val="002975A1"/>
    <w:rsid w:val="002A20D3"/>
    <w:rsid w:val="002B234D"/>
    <w:rsid w:val="002B6D33"/>
    <w:rsid w:val="002E7E35"/>
    <w:rsid w:val="003055B0"/>
    <w:rsid w:val="003101B7"/>
    <w:rsid w:val="003163D1"/>
    <w:rsid w:val="00327889"/>
    <w:rsid w:val="003335DE"/>
    <w:rsid w:val="0034423A"/>
    <w:rsid w:val="003755A2"/>
    <w:rsid w:val="00396CB6"/>
    <w:rsid w:val="003A28BF"/>
    <w:rsid w:val="003C7192"/>
    <w:rsid w:val="003D543F"/>
    <w:rsid w:val="004035A7"/>
    <w:rsid w:val="0043729C"/>
    <w:rsid w:val="00444C20"/>
    <w:rsid w:val="004452CA"/>
    <w:rsid w:val="00450766"/>
    <w:rsid w:val="00473351"/>
    <w:rsid w:val="00475825"/>
    <w:rsid w:val="004903FE"/>
    <w:rsid w:val="004921D6"/>
    <w:rsid w:val="00497871"/>
    <w:rsid w:val="004A7937"/>
    <w:rsid w:val="004B4977"/>
    <w:rsid w:val="004C6FF9"/>
    <w:rsid w:val="004C708C"/>
    <w:rsid w:val="004E4B5E"/>
    <w:rsid w:val="00506493"/>
    <w:rsid w:val="005136AF"/>
    <w:rsid w:val="005345E4"/>
    <w:rsid w:val="0055182C"/>
    <w:rsid w:val="00556979"/>
    <w:rsid w:val="00561541"/>
    <w:rsid w:val="0058162A"/>
    <w:rsid w:val="005A0B11"/>
    <w:rsid w:val="005A0B4A"/>
    <w:rsid w:val="005A542A"/>
    <w:rsid w:val="005B79E5"/>
    <w:rsid w:val="005C23CC"/>
    <w:rsid w:val="005C5C7F"/>
    <w:rsid w:val="005D6A6C"/>
    <w:rsid w:val="005F6449"/>
    <w:rsid w:val="00601521"/>
    <w:rsid w:val="00603005"/>
    <w:rsid w:val="00606DCE"/>
    <w:rsid w:val="00615172"/>
    <w:rsid w:val="00623524"/>
    <w:rsid w:val="006262DD"/>
    <w:rsid w:val="00640CE0"/>
    <w:rsid w:val="00674942"/>
    <w:rsid w:val="006A2888"/>
    <w:rsid w:val="006A3D02"/>
    <w:rsid w:val="006B5033"/>
    <w:rsid w:val="006B631D"/>
    <w:rsid w:val="006B76E4"/>
    <w:rsid w:val="006C5FBE"/>
    <w:rsid w:val="006D15F9"/>
    <w:rsid w:val="006D1742"/>
    <w:rsid w:val="006E344A"/>
    <w:rsid w:val="006F066F"/>
    <w:rsid w:val="006F1F84"/>
    <w:rsid w:val="0071737A"/>
    <w:rsid w:val="00717FF9"/>
    <w:rsid w:val="0073258C"/>
    <w:rsid w:val="007669EC"/>
    <w:rsid w:val="0077335A"/>
    <w:rsid w:val="00783565"/>
    <w:rsid w:val="007B2DC3"/>
    <w:rsid w:val="007C036F"/>
    <w:rsid w:val="007D2326"/>
    <w:rsid w:val="007D3D6D"/>
    <w:rsid w:val="007D4D71"/>
    <w:rsid w:val="00802F42"/>
    <w:rsid w:val="00813C55"/>
    <w:rsid w:val="0082646A"/>
    <w:rsid w:val="00827893"/>
    <w:rsid w:val="00834499"/>
    <w:rsid w:val="00836E34"/>
    <w:rsid w:val="0084185D"/>
    <w:rsid w:val="0085009D"/>
    <w:rsid w:val="00863E2E"/>
    <w:rsid w:val="008736D2"/>
    <w:rsid w:val="00884218"/>
    <w:rsid w:val="008B1258"/>
    <w:rsid w:val="008B711F"/>
    <w:rsid w:val="008C33EB"/>
    <w:rsid w:val="008D6DEE"/>
    <w:rsid w:val="008E35CA"/>
    <w:rsid w:val="008F1435"/>
    <w:rsid w:val="009102A0"/>
    <w:rsid w:val="009212A4"/>
    <w:rsid w:val="00923236"/>
    <w:rsid w:val="00945EB3"/>
    <w:rsid w:val="0094796C"/>
    <w:rsid w:val="00953505"/>
    <w:rsid w:val="0095421B"/>
    <w:rsid w:val="00961A40"/>
    <w:rsid w:val="009652B2"/>
    <w:rsid w:val="00990E56"/>
    <w:rsid w:val="00995037"/>
    <w:rsid w:val="00995A0E"/>
    <w:rsid w:val="009B71AC"/>
    <w:rsid w:val="009E3139"/>
    <w:rsid w:val="009F1D05"/>
    <w:rsid w:val="009F6030"/>
    <w:rsid w:val="00A02C05"/>
    <w:rsid w:val="00A143E1"/>
    <w:rsid w:val="00A215C9"/>
    <w:rsid w:val="00A25C39"/>
    <w:rsid w:val="00A77A00"/>
    <w:rsid w:val="00A85AD5"/>
    <w:rsid w:val="00AC3DAB"/>
    <w:rsid w:val="00AC5E69"/>
    <w:rsid w:val="00AD4E3B"/>
    <w:rsid w:val="00AF475A"/>
    <w:rsid w:val="00B078D4"/>
    <w:rsid w:val="00B11FC7"/>
    <w:rsid w:val="00B318CA"/>
    <w:rsid w:val="00B35734"/>
    <w:rsid w:val="00B56AC9"/>
    <w:rsid w:val="00B94C9A"/>
    <w:rsid w:val="00BB0856"/>
    <w:rsid w:val="00BD347B"/>
    <w:rsid w:val="00BD60BD"/>
    <w:rsid w:val="00BD675A"/>
    <w:rsid w:val="00BD7888"/>
    <w:rsid w:val="00C06AB9"/>
    <w:rsid w:val="00C077D4"/>
    <w:rsid w:val="00C07BA4"/>
    <w:rsid w:val="00C12691"/>
    <w:rsid w:val="00C13E16"/>
    <w:rsid w:val="00C15E09"/>
    <w:rsid w:val="00C21AB6"/>
    <w:rsid w:val="00C26082"/>
    <w:rsid w:val="00C277EA"/>
    <w:rsid w:val="00C43DA1"/>
    <w:rsid w:val="00C91B24"/>
    <w:rsid w:val="00CD01D6"/>
    <w:rsid w:val="00CE6192"/>
    <w:rsid w:val="00CF0192"/>
    <w:rsid w:val="00D02C7A"/>
    <w:rsid w:val="00D123C7"/>
    <w:rsid w:val="00D1374E"/>
    <w:rsid w:val="00D32C79"/>
    <w:rsid w:val="00D3467B"/>
    <w:rsid w:val="00D47C56"/>
    <w:rsid w:val="00D51BCF"/>
    <w:rsid w:val="00D578F7"/>
    <w:rsid w:val="00D57D29"/>
    <w:rsid w:val="00D720FB"/>
    <w:rsid w:val="00D93FE2"/>
    <w:rsid w:val="00DA0DD8"/>
    <w:rsid w:val="00DA44CD"/>
    <w:rsid w:val="00DB0E67"/>
    <w:rsid w:val="00E05F7B"/>
    <w:rsid w:val="00E11B73"/>
    <w:rsid w:val="00E2044D"/>
    <w:rsid w:val="00E25AB3"/>
    <w:rsid w:val="00E34CC9"/>
    <w:rsid w:val="00E50C04"/>
    <w:rsid w:val="00E547D9"/>
    <w:rsid w:val="00E807BD"/>
    <w:rsid w:val="00E872A2"/>
    <w:rsid w:val="00E95382"/>
    <w:rsid w:val="00EA199A"/>
    <w:rsid w:val="00EB0029"/>
    <w:rsid w:val="00ED7B52"/>
    <w:rsid w:val="00ED7EDA"/>
    <w:rsid w:val="00F27B6A"/>
    <w:rsid w:val="00F35B2B"/>
    <w:rsid w:val="00F41588"/>
    <w:rsid w:val="00F42A95"/>
    <w:rsid w:val="00F50280"/>
    <w:rsid w:val="00F66809"/>
    <w:rsid w:val="00F742D1"/>
    <w:rsid w:val="00F7443E"/>
    <w:rsid w:val="00F806FD"/>
    <w:rsid w:val="00F813BB"/>
    <w:rsid w:val="00F9453D"/>
    <w:rsid w:val="00FA01C2"/>
    <w:rsid w:val="00FB31CB"/>
    <w:rsid w:val="00FB4780"/>
    <w:rsid w:val="00FC3D2F"/>
    <w:rsid w:val="00FC4D07"/>
    <w:rsid w:val="00FE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1CC2"/>
  <w15:docId w15:val="{9F451D6F-770E-43E9-9A9C-F9FD896C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FootnoteText">
    <w:name w:val="footnote text"/>
    <w:basedOn w:val="Normal"/>
    <w:link w:val="FootnoteTextChar"/>
    <w:uiPriority w:val="99"/>
    <w:unhideWhenUsed/>
    <w:rsid w:val="007D2326"/>
    <w:rPr>
      <w:sz w:val="20"/>
      <w:szCs w:val="20"/>
    </w:rPr>
  </w:style>
  <w:style w:type="character" w:customStyle="1" w:styleId="FootnoteTextChar">
    <w:name w:val="Footnote Text Char"/>
    <w:basedOn w:val="DefaultParagraphFont"/>
    <w:link w:val="FootnoteText"/>
    <w:uiPriority w:val="99"/>
    <w:rsid w:val="007D2326"/>
  </w:style>
  <w:style w:type="character" w:styleId="FootnoteReference">
    <w:name w:val="footnote reference"/>
    <w:basedOn w:val="DefaultParagraphFont"/>
    <w:uiPriority w:val="99"/>
    <w:unhideWhenUsed/>
    <w:rsid w:val="007D2326"/>
    <w:rPr>
      <w:vertAlign w:val="superscript"/>
    </w:rPr>
  </w:style>
  <w:style w:type="paragraph" w:styleId="BodyText">
    <w:name w:val="Body Text"/>
    <w:basedOn w:val="Normal"/>
    <w:link w:val="BodyTextChar"/>
    <w:qFormat/>
    <w:rsid w:val="007B2DC3"/>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rPr>
  </w:style>
  <w:style w:type="character" w:customStyle="1" w:styleId="BodyTextChar">
    <w:name w:val="Body Text Char"/>
    <w:basedOn w:val="DefaultParagraphFont"/>
    <w:link w:val="BodyText"/>
    <w:rsid w:val="007B2DC3"/>
    <w:rPr>
      <w:rFonts w:eastAsia="Times New Roman"/>
      <w:sz w:val="24"/>
      <w:szCs w:val="24"/>
      <w:bdr w:val="none" w:sz="0" w:space="0" w:color="auto"/>
    </w:rPr>
  </w:style>
  <w:style w:type="paragraph" w:styleId="Header">
    <w:name w:val="header"/>
    <w:basedOn w:val="Normal"/>
    <w:link w:val="HeaderChar"/>
    <w:uiPriority w:val="99"/>
    <w:unhideWhenUsed/>
    <w:rsid w:val="008B711F"/>
    <w:pPr>
      <w:tabs>
        <w:tab w:val="center" w:pos="4680"/>
        <w:tab w:val="right" w:pos="9360"/>
      </w:tabs>
    </w:pPr>
  </w:style>
  <w:style w:type="character" w:customStyle="1" w:styleId="HeaderChar">
    <w:name w:val="Header Char"/>
    <w:basedOn w:val="DefaultParagraphFont"/>
    <w:link w:val="Header"/>
    <w:uiPriority w:val="99"/>
    <w:rsid w:val="008B711F"/>
    <w:rPr>
      <w:sz w:val="24"/>
      <w:szCs w:val="24"/>
    </w:rPr>
  </w:style>
  <w:style w:type="paragraph" w:styleId="Footer">
    <w:name w:val="footer"/>
    <w:basedOn w:val="Normal"/>
    <w:link w:val="FooterChar"/>
    <w:uiPriority w:val="99"/>
    <w:unhideWhenUsed/>
    <w:rsid w:val="008B711F"/>
    <w:pPr>
      <w:tabs>
        <w:tab w:val="center" w:pos="4680"/>
        <w:tab w:val="right" w:pos="9360"/>
      </w:tabs>
    </w:pPr>
  </w:style>
  <w:style w:type="character" w:customStyle="1" w:styleId="FooterChar">
    <w:name w:val="Footer Char"/>
    <w:basedOn w:val="DefaultParagraphFont"/>
    <w:link w:val="Footer"/>
    <w:uiPriority w:val="99"/>
    <w:rsid w:val="008B711F"/>
    <w:rPr>
      <w:sz w:val="24"/>
      <w:szCs w:val="24"/>
    </w:rPr>
  </w:style>
  <w:style w:type="paragraph" w:styleId="BalloonText">
    <w:name w:val="Balloon Text"/>
    <w:basedOn w:val="Normal"/>
    <w:link w:val="BalloonTextChar"/>
    <w:uiPriority w:val="99"/>
    <w:semiHidden/>
    <w:unhideWhenUsed/>
    <w:rsid w:val="00C277EA"/>
    <w:rPr>
      <w:sz w:val="18"/>
      <w:szCs w:val="18"/>
    </w:rPr>
  </w:style>
  <w:style w:type="character" w:customStyle="1" w:styleId="BalloonTextChar">
    <w:name w:val="Balloon Text Char"/>
    <w:basedOn w:val="DefaultParagraphFont"/>
    <w:link w:val="BalloonText"/>
    <w:uiPriority w:val="99"/>
    <w:semiHidden/>
    <w:rsid w:val="00C277EA"/>
    <w:rPr>
      <w:sz w:val="18"/>
      <w:szCs w:val="18"/>
    </w:rPr>
  </w:style>
  <w:style w:type="character" w:styleId="CommentReference">
    <w:name w:val="annotation reference"/>
    <w:basedOn w:val="DefaultParagraphFont"/>
    <w:uiPriority w:val="99"/>
    <w:semiHidden/>
    <w:unhideWhenUsed/>
    <w:rsid w:val="00995037"/>
    <w:rPr>
      <w:sz w:val="16"/>
      <w:szCs w:val="16"/>
    </w:rPr>
  </w:style>
  <w:style w:type="paragraph" w:styleId="CommentText">
    <w:name w:val="annotation text"/>
    <w:basedOn w:val="Normal"/>
    <w:link w:val="CommentTextChar"/>
    <w:uiPriority w:val="99"/>
    <w:semiHidden/>
    <w:unhideWhenUsed/>
    <w:rsid w:val="00995037"/>
    <w:rPr>
      <w:sz w:val="20"/>
      <w:szCs w:val="20"/>
    </w:rPr>
  </w:style>
  <w:style w:type="character" w:customStyle="1" w:styleId="CommentTextChar">
    <w:name w:val="Comment Text Char"/>
    <w:basedOn w:val="DefaultParagraphFont"/>
    <w:link w:val="CommentText"/>
    <w:uiPriority w:val="99"/>
    <w:semiHidden/>
    <w:rsid w:val="00995037"/>
  </w:style>
  <w:style w:type="paragraph" w:styleId="CommentSubject">
    <w:name w:val="annotation subject"/>
    <w:basedOn w:val="CommentText"/>
    <w:next w:val="CommentText"/>
    <w:link w:val="CommentSubjectChar"/>
    <w:uiPriority w:val="99"/>
    <w:semiHidden/>
    <w:unhideWhenUsed/>
    <w:rsid w:val="00995037"/>
    <w:rPr>
      <w:b/>
      <w:bCs/>
    </w:rPr>
  </w:style>
  <w:style w:type="character" w:customStyle="1" w:styleId="CommentSubjectChar">
    <w:name w:val="Comment Subject Char"/>
    <w:basedOn w:val="CommentTextChar"/>
    <w:link w:val="CommentSubject"/>
    <w:uiPriority w:val="99"/>
    <w:semiHidden/>
    <w:rsid w:val="00995037"/>
    <w:rPr>
      <w:b/>
      <w:bCs/>
    </w:rPr>
  </w:style>
  <w:style w:type="character" w:styleId="FollowedHyperlink">
    <w:name w:val="FollowedHyperlink"/>
    <w:basedOn w:val="DefaultParagraphFont"/>
    <w:uiPriority w:val="99"/>
    <w:semiHidden/>
    <w:unhideWhenUsed/>
    <w:rsid w:val="00212879"/>
    <w:rPr>
      <w:color w:val="FF00FF" w:themeColor="followedHyperlink"/>
      <w:u w:val="single"/>
    </w:rPr>
  </w:style>
  <w:style w:type="paragraph" w:styleId="Revision">
    <w:name w:val="Revision"/>
    <w:hidden/>
    <w:uiPriority w:val="99"/>
    <w:semiHidden/>
    <w:rsid w:val="00990E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ageNumber">
    <w:name w:val="page number"/>
    <w:basedOn w:val="DefaultParagraphFont"/>
    <w:uiPriority w:val="99"/>
    <w:semiHidden/>
    <w:unhideWhenUsed/>
    <w:rsid w:val="004A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909">
      <w:bodyDiv w:val="1"/>
      <w:marLeft w:val="0"/>
      <w:marRight w:val="0"/>
      <w:marTop w:val="0"/>
      <w:marBottom w:val="0"/>
      <w:divBdr>
        <w:top w:val="none" w:sz="0" w:space="0" w:color="auto"/>
        <w:left w:val="none" w:sz="0" w:space="0" w:color="auto"/>
        <w:bottom w:val="none" w:sz="0" w:space="0" w:color="auto"/>
        <w:right w:val="none" w:sz="0" w:space="0" w:color="auto"/>
      </w:divBdr>
      <w:divsChild>
        <w:div w:id="560597492">
          <w:marLeft w:val="0"/>
          <w:marRight w:val="0"/>
          <w:marTop w:val="0"/>
          <w:marBottom w:val="0"/>
          <w:divBdr>
            <w:top w:val="none" w:sz="0" w:space="0" w:color="auto"/>
            <w:left w:val="none" w:sz="0" w:space="0" w:color="auto"/>
            <w:bottom w:val="none" w:sz="0" w:space="0" w:color="auto"/>
            <w:right w:val="none" w:sz="0" w:space="0" w:color="auto"/>
          </w:divBdr>
        </w:div>
        <w:div w:id="1868641934">
          <w:marLeft w:val="0"/>
          <w:marRight w:val="0"/>
          <w:marTop w:val="0"/>
          <w:marBottom w:val="0"/>
          <w:divBdr>
            <w:top w:val="none" w:sz="0" w:space="0" w:color="auto"/>
            <w:left w:val="none" w:sz="0" w:space="0" w:color="auto"/>
            <w:bottom w:val="none" w:sz="0" w:space="0" w:color="auto"/>
            <w:right w:val="none" w:sz="0" w:space="0" w:color="auto"/>
          </w:divBdr>
        </w:div>
        <w:div w:id="2126535343">
          <w:marLeft w:val="0"/>
          <w:marRight w:val="0"/>
          <w:marTop w:val="0"/>
          <w:marBottom w:val="0"/>
          <w:divBdr>
            <w:top w:val="none" w:sz="0" w:space="0" w:color="auto"/>
            <w:left w:val="none" w:sz="0" w:space="0" w:color="auto"/>
            <w:bottom w:val="none" w:sz="0" w:space="0" w:color="auto"/>
            <w:right w:val="none" w:sz="0" w:space="0" w:color="auto"/>
          </w:divBdr>
        </w:div>
      </w:divsChild>
    </w:div>
    <w:div w:id="504630557">
      <w:bodyDiv w:val="1"/>
      <w:marLeft w:val="0"/>
      <w:marRight w:val="0"/>
      <w:marTop w:val="0"/>
      <w:marBottom w:val="0"/>
      <w:divBdr>
        <w:top w:val="none" w:sz="0" w:space="0" w:color="auto"/>
        <w:left w:val="none" w:sz="0" w:space="0" w:color="auto"/>
        <w:bottom w:val="none" w:sz="0" w:space="0" w:color="auto"/>
        <w:right w:val="none" w:sz="0" w:space="0" w:color="auto"/>
      </w:divBdr>
    </w:div>
    <w:div w:id="1630670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elp.org/publication/research-supports-fair-chance-policies/" TargetMode="External"/><Relationship Id="rId1" Type="http://schemas.openxmlformats.org/officeDocument/2006/relationships/hyperlink" Target="http://www.cora-ny.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8A1B-835F-CB45-8600-F60CD643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Ader, Melissa</dc:creator>
  <cp:keywords>
  </cp:keywords>
  <dc:description>
  </dc:description>
  <cp:lastModifiedBy>Kathryn Evans</cp:lastModifiedBy>
  <cp:revision>5</cp:revision>
  <dcterms:created xsi:type="dcterms:W3CDTF">2020-03-23T16:57:00Z</dcterms:created>
  <dcterms:modified xsi:type="dcterms:W3CDTF">2020-03-24T13:39:00Z</dcterms:modified>
</cp:coreProperties>
</file>